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31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16"/>
        <w:gridCol w:w="1495"/>
        <w:gridCol w:w="2830"/>
        <w:gridCol w:w="1345"/>
        <w:gridCol w:w="1345"/>
      </w:tblGrid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1037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元</w:t>
            </w:r>
          </w:p>
        </w:tc>
        <w:tc>
          <w:tcPr>
            <w:tcW w:w="1534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细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r w:rsidRPr="00EB7F75">
              <w:rPr>
                <w:rFonts w:ascii="Verdana" w:hAnsi="Verdana" w:cs="宋体"/>
                <w:color w:val="auto"/>
              </w:rPr>
              <w:t>目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要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r w:rsidRPr="00EB7F75">
              <w:rPr>
                <w:rFonts w:ascii="Verdana" w:hAnsi="Verdana" w:cs="宋体"/>
                <w:color w:val="auto"/>
              </w:rPr>
              <w:t>点</w:t>
            </w:r>
          </w:p>
        </w:tc>
        <w:tc>
          <w:tcPr>
            <w:tcW w:w="1325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要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r w:rsidRPr="00EB7F75">
              <w:rPr>
                <w:rFonts w:ascii="Verdana" w:hAnsi="Verdana" w:cs="宋体"/>
                <w:color w:val="auto"/>
              </w:rPr>
              <w:t>求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科目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1037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一、绪论</w:t>
            </w: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临床化学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）基本概念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）临床生物化学在医学中的应用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1037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二、糖代谢紊乱及糖尿病的检查</w:t>
            </w: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糖代谢简述</w:t>
            </w:r>
          </w:p>
        </w:tc>
        <w:tc>
          <w:tcPr>
            <w:tcW w:w="2810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）基础知识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）血糖的来源与去路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）血糖浓度的调节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）胰岛素的代谢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高血糖症与糖尿病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）高血糖症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）糖尿病与糖尿病分型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）糖尿病诊断标准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）糖尿病的代谢紊乱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5</w:t>
            </w:r>
            <w:r w:rsidRPr="00EB7F75">
              <w:rPr>
                <w:rFonts w:ascii="Verdana" w:hAnsi="Verdana" w:cs="宋体"/>
                <w:color w:val="auto"/>
              </w:rPr>
              <w:t>）糖尿病检测指标的临床意义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3.</w:t>
            </w:r>
            <w:r w:rsidRPr="00EB7F75">
              <w:rPr>
                <w:rFonts w:ascii="Verdana" w:hAnsi="Verdana" w:cs="宋体"/>
                <w:color w:val="auto"/>
              </w:rPr>
              <w:t>糖尿病的实验室检查内容、方法学评价、参考值和临床意义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）血糖测定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）尿糖测定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）口服葡萄糖耐量试验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）糖化蛋白测定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5</w:t>
            </w:r>
            <w:r w:rsidRPr="00EB7F75">
              <w:rPr>
                <w:rFonts w:ascii="Verdana" w:hAnsi="Verdana" w:cs="宋体"/>
                <w:color w:val="auto"/>
              </w:rPr>
              <w:t>）葡萄糖</w:t>
            </w:r>
            <w:r w:rsidRPr="00EB7F75">
              <w:rPr>
                <w:rFonts w:ascii="Verdana" w:hAnsi="Verdana" w:cs="宋体"/>
                <w:color w:val="auto"/>
              </w:rPr>
              <w:t>-</w:t>
            </w:r>
            <w:r w:rsidRPr="00EB7F75">
              <w:rPr>
                <w:rFonts w:ascii="Verdana" w:hAnsi="Verdana" w:cs="宋体"/>
                <w:color w:val="auto"/>
              </w:rPr>
              <w:t>胰岛素释放试验和葡萄糖</w:t>
            </w:r>
            <w:r w:rsidRPr="00EB7F75">
              <w:rPr>
                <w:rFonts w:ascii="Verdana" w:hAnsi="Verdana" w:cs="宋体"/>
                <w:color w:val="auto"/>
              </w:rPr>
              <w:t>-C</w:t>
            </w:r>
            <w:r w:rsidRPr="00EB7F75">
              <w:rPr>
                <w:rFonts w:ascii="Verdana" w:hAnsi="Verdana" w:cs="宋体"/>
                <w:color w:val="auto"/>
              </w:rPr>
              <w:t>肽释放试验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6</w:t>
            </w:r>
            <w:r w:rsidRPr="00EB7F75">
              <w:rPr>
                <w:rFonts w:ascii="Verdana" w:hAnsi="Verdana" w:cs="宋体"/>
                <w:color w:val="auto"/>
              </w:rPr>
              <w:t>）糖尿病及其并发症的检验指标及方法</w:t>
            </w:r>
            <w:proofErr w:type="gramStart"/>
            <w:r w:rsidRPr="00EB7F75">
              <w:rPr>
                <w:rFonts w:ascii="Verdana" w:hAnsi="Verdana" w:cs="宋体"/>
                <w:color w:val="auto"/>
              </w:rPr>
              <w:t>学评价</w:t>
            </w:r>
            <w:proofErr w:type="gramEnd"/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4.</w:t>
            </w:r>
            <w:r w:rsidRPr="00EB7F75">
              <w:rPr>
                <w:rFonts w:ascii="Verdana" w:hAnsi="Verdana" w:cs="宋体"/>
                <w:color w:val="auto"/>
              </w:rPr>
              <w:t>低血糖症的分型及诊断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）低血糖症概念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</w:rPr>
            </w:pPr>
            <w:r w:rsidRPr="00EB7F75">
              <w:rPr>
                <w:rFonts w:ascii="Verdana" w:hAnsi="Verdana" w:cs="宋体"/>
              </w:rPr>
              <w:t>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）成人空腹低血糖症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）餐后低血糖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）糖尿病性低血糖症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5.</w:t>
            </w:r>
            <w:r w:rsidRPr="00EB7F75">
              <w:rPr>
                <w:rFonts w:ascii="Verdana" w:hAnsi="Verdana" w:cs="宋体"/>
                <w:color w:val="auto"/>
              </w:rPr>
              <w:t>糖代谢先天性异常</w:t>
            </w:r>
          </w:p>
        </w:tc>
        <w:tc>
          <w:tcPr>
            <w:tcW w:w="2810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）糖代谢的先天性异常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325" w:type="dxa"/>
            <w:vMerge w:val="restart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1037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三、脂代谢及高脂血症的检查</w:t>
            </w: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血浆脂质、脂蛋白、载脂蛋白、脂蛋白受体及有关酶类的分类、结构、功能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）胆固醇、甘油三酯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）脂蛋白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）载脂蛋白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）脂蛋白受体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5</w:t>
            </w:r>
            <w:r w:rsidRPr="00EB7F75">
              <w:rPr>
                <w:rFonts w:ascii="Verdana" w:hAnsi="Verdana" w:cs="宋体"/>
                <w:color w:val="auto"/>
              </w:rPr>
              <w:t>）脂质转运蛋白和脂蛋白代谢的重要酶类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1037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 xml:space="preserve">　</w:t>
            </w: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脂蛋白代谢及高脂蛋白血症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）乳糜微粒和极低密度、低密度、高密度脂蛋白的特征和代谢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）高脂蛋白血症及其分型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3.</w:t>
            </w:r>
            <w:r w:rsidRPr="00EB7F75">
              <w:rPr>
                <w:rFonts w:ascii="Verdana" w:hAnsi="Verdana" w:cs="宋体"/>
                <w:color w:val="auto"/>
              </w:rPr>
              <w:t>脂蛋白、脂质与载脂蛋白测定方法评价、参考</w:t>
            </w:r>
            <w:r w:rsidRPr="00EB7F75">
              <w:rPr>
                <w:rFonts w:ascii="Verdana" w:hAnsi="Verdana" w:cs="宋体"/>
                <w:color w:val="auto"/>
              </w:rPr>
              <w:lastRenderedPageBreak/>
              <w:t>值及临床意义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lastRenderedPageBreak/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）胆固醇、甘油三酯测定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）高密度、低密度脂蛋白胆固醇测定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）载脂蛋白</w:t>
            </w:r>
            <w:proofErr w:type="spellStart"/>
            <w:r w:rsidRPr="00EB7F75">
              <w:rPr>
                <w:rFonts w:ascii="Verdana" w:hAnsi="Verdana" w:cs="宋体"/>
                <w:color w:val="auto"/>
              </w:rPr>
              <w:t>A</w:t>
            </w:r>
            <w:r w:rsidRPr="00EB7F75">
              <w:rPr>
                <w:rFonts w:hAnsi="宋体" w:cs="宋体"/>
                <w:color w:val="auto"/>
              </w:rPr>
              <w:t>Ⅰ</w:t>
            </w:r>
            <w:proofErr w:type="spellEnd"/>
            <w:r w:rsidRPr="00EB7F75">
              <w:rPr>
                <w:rFonts w:ascii="Verdana" w:hAnsi="Verdana" w:cs="宋体"/>
                <w:color w:val="auto"/>
              </w:rPr>
              <w:t>、</w:t>
            </w:r>
            <w:r w:rsidRPr="00EB7F75">
              <w:rPr>
                <w:rFonts w:ascii="Verdana" w:hAnsi="Verdana" w:cs="宋体"/>
                <w:color w:val="auto"/>
              </w:rPr>
              <w:t>B</w:t>
            </w:r>
            <w:r w:rsidRPr="00EB7F75">
              <w:rPr>
                <w:rFonts w:ascii="Verdana" w:hAnsi="Verdana" w:cs="宋体"/>
                <w:color w:val="auto"/>
              </w:rPr>
              <w:t>测定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）脂蛋白（</w:t>
            </w:r>
            <w:r w:rsidRPr="00EB7F75">
              <w:rPr>
                <w:rFonts w:ascii="Verdana" w:hAnsi="Verdana" w:cs="宋体"/>
                <w:color w:val="auto"/>
              </w:rPr>
              <w:t>a</w:t>
            </w:r>
            <w:r w:rsidRPr="00EB7F75">
              <w:rPr>
                <w:rFonts w:ascii="Verdana" w:hAnsi="Verdana" w:cs="宋体"/>
                <w:color w:val="auto"/>
              </w:rPr>
              <w:t>）测定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5</w:t>
            </w:r>
            <w:r w:rsidRPr="00EB7F75">
              <w:rPr>
                <w:rFonts w:ascii="Verdana" w:hAnsi="Verdana" w:cs="宋体"/>
                <w:color w:val="auto"/>
              </w:rPr>
              <w:t>）各种脂蛋白在动脉粥样硬化形成中的作用和临床意义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vMerge w:val="restart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6</w:t>
            </w:r>
            <w:r w:rsidRPr="00EB7F75">
              <w:rPr>
                <w:rFonts w:ascii="Verdana" w:hAnsi="Verdana" w:cs="宋体"/>
                <w:color w:val="auto"/>
              </w:rPr>
              <w:t>）代谢综合征</w:t>
            </w:r>
          </w:p>
        </w:tc>
        <w:tc>
          <w:tcPr>
            <w:tcW w:w="1325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325" w:type="dxa"/>
            <w:vMerge w:val="restart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7</w:t>
            </w:r>
            <w:r w:rsidRPr="00EB7F75">
              <w:rPr>
                <w:rFonts w:ascii="Verdana" w:hAnsi="Verdana" w:cs="宋体"/>
                <w:color w:val="auto"/>
              </w:rPr>
              <w:t>）胆固醇、甘油三酯、高和低密度脂蛋白胆固醇治疗目标值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1037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四、血浆蛋白质检查</w:t>
            </w: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主要体液蛋白质的分类、功能和临床意义</w:t>
            </w:r>
          </w:p>
        </w:tc>
        <w:tc>
          <w:tcPr>
            <w:tcW w:w="2810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）前白蛋白、白蛋白、</w:t>
            </w:r>
            <w:r w:rsidRPr="00EB7F75">
              <w:rPr>
                <w:rFonts w:ascii="Verdana" w:hAnsi="Verdana" w:cs="宋体"/>
                <w:color w:val="auto"/>
              </w:rPr>
              <w:t>α</w:t>
            </w:r>
            <w:r w:rsidRPr="00EB7F75">
              <w:rPr>
                <w:rFonts w:ascii="Verdana" w:hAnsi="Verdana" w:cs="宋体"/>
                <w:color w:val="auto"/>
                <w:vertAlign w:val="subscript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-</w:t>
            </w:r>
            <w:r w:rsidRPr="00EB7F75">
              <w:rPr>
                <w:rFonts w:ascii="Verdana" w:hAnsi="Verdana" w:cs="宋体"/>
                <w:color w:val="auto"/>
              </w:rPr>
              <w:t>巨球蛋白、</w:t>
            </w:r>
            <w:r w:rsidRPr="00EB7F75">
              <w:rPr>
                <w:rFonts w:ascii="Verdana" w:hAnsi="Verdana" w:cs="宋体"/>
                <w:color w:val="auto"/>
              </w:rPr>
              <w:t>β</w:t>
            </w:r>
            <w:r w:rsidRPr="00EB7F75">
              <w:rPr>
                <w:rFonts w:ascii="Verdana" w:hAnsi="Verdana" w:cs="宋体"/>
                <w:color w:val="auto"/>
                <w:vertAlign w:val="subscript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-</w:t>
            </w:r>
            <w:r w:rsidRPr="00EB7F75">
              <w:rPr>
                <w:rFonts w:ascii="Verdana" w:hAnsi="Verdana" w:cs="宋体"/>
                <w:color w:val="auto"/>
              </w:rPr>
              <w:t>微球蛋白、</w:t>
            </w:r>
            <w:r w:rsidRPr="00EB7F75">
              <w:rPr>
                <w:rFonts w:ascii="Verdana" w:hAnsi="Verdana" w:cs="宋体"/>
                <w:color w:val="auto"/>
              </w:rPr>
              <w:t>α</w:t>
            </w:r>
            <w:r w:rsidRPr="00EB7F75">
              <w:rPr>
                <w:rFonts w:ascii="Verdana" w:hAnsi="Verdana" w:cs="宋体"/>
                <w:color w:val="auto"/>
                <w:vertAlign w:val="subscript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-</w:t>
            </w:r>
            <w:r w:rsidRPr="00EB7F75">
              <w:rPr>
                <w:rFonts w:ascii="Verdana" w:hAnsi="Verdana" w:cs="宋体"/>
                <w:color w:val="auto"/>
              </w:rPr>
              <w:t>微球蛋白、转铁蛋白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325" w:type="dxa"/>
            <w:vMerge w:val="restart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B7F75" w:rsidRPr="00EB7F75" w:rsidTr="00EB7F75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B7F75" w:rsidRPr="00EB7F75" w:rsidTr="00EB7F75">
        <w:trPr>
          <w:trHeight w:val="67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</w:t>
            </w:r>
            <w:r w:rsidRPr="00EB7F75">
              <w:rPr>
                <w:rFonts w:ascii="Verdana" w:hAnsi="Verdana" w:cs="宋体"/>
                <w:color w:val="auto"/>
              </w:rPr>
              <w:t>α</w:t>
            </w:r>
            <w:r w:rsidRPr="00EB7F75">
              <w:rPr>
                <w:rFonts w:ascii="Verdana" w:hAnsi="Verdana" w:cs="宋体"/>
                <w:color w:val="auto"/>
                <w:vertAlign w:val="subscript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-</w:t>
            </w:r>
            <w:r w:rsidRPr="00EB7F75">
              <w:rPr>
                <w:rFonts w:ascii="Verdana" w:hAnsi="Verdana" w:cs="宋体"/>
                <w:color w:val="auto"/>
              </w:rPr>
              <w:t>抗胰蛋白酶、</w:t>
            </w:r>
            <w:r w:rsidRPr="00EB7F75">
              <w:rPr>
                <w:rFonts w:ascii="Verdana" w:hAnsi="Verdana" w:cs="宋体"/>
                <w:color w:val="auto"/>
              </w:rPr>
              <w:t>α</w:t>
            </w:r>
            <w:r w:rsidRPr="00EB7F75">
              <w:rPr>
                <w:rFonts w:ascii="Verdana" w:hAnsi="Verdana" w:cs="宋体"/>
                <w:color w:val="auto"/>
                <w:vertAlign w:val="subscript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-</w:t>
            </w:r>
            <w:r w:rsidRPr="00EB7F75">
              <w:rPr>
                <w:rFonts w:ascii="Verdana" w:hAnsi="Verdana" w:cs="宋体"/>
                <w:color w:val="auto"/>
              </w:rPr>
              <w:t>酸性糖蛋白、结合珠蛋白、铜蓝蛋白、</w:t>
            </w:r>
            <w:r w:rsidRPr="00EB7F75">
              <w:rPr>
                <w:rFonts w:ascii="Verdana" w:hAnsi="Verdana" w:cs="宋体"/>
                <w:color w:val="auto"/>
              </w:rPr>
              <w:t>C-</w:t>
            </w:r>
            <w:r w:rsidRPr="00EB7F75">
              <w:rPr>
                <w:rFonts w:ascii="Verdana" w:hAnsi="Verdana" w:cs="宋体"/>
                <w:color w:val="auto"/>
              </w:rPr>
              <w:t>反应蛋白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42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）免疫球蛋白（详见免疫学检验）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325" w:type="dxa"/>
            <w:vMerge w:val="restart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EB7F75" w:rsidRPr="00EB7F75" w:rsidTr="00EB7F75">
        <w:trPr>
          <w:trHeight w:val="24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）脑脊液蛋白质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B7F75" w:rsidRPr="00EB7F75" w:rsidTr="00EB7F75">
        <w:trPr>
          <w:trHeight w:val="42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血浆蛋白质测定、参考值及其临床意义</w:t>
            </w:r>
          </w:p>
        </w:tc>
        <w:tc>
          <w:tcPr>
            <w:tcW w:w="2810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）血浆总蛋白、白蛋白测定方法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63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）血清蛋白电泳及在相关疾病时血浆</w:t>
            </w:r>
            <w:proofErr w:type="gramStart"/>
            <w:r w:rsidRPr="00EB7F75">
              <w:rPr>
                <w:rFonts w:ascii="Verdana" w:hAnsi="Verdana" w:cs="宋体"/>
                <w:color w:val="auto"/>
              </w:rPr>
              <w:t>蛋白电脉</w:t>
            </w:r>
            <w:proofErr w:type="gramEnd"/>
            <w:r w:rsidRPr="00EB7F75">
              <w:rPr>
                <w:rFonts w:ascii="Verdana" w:hAnsi="Verdana" w:cs="宋体"/>
                <w:color w:val="auto"/>
              </w:rPr>
              <w:t>图谱的主要变化特征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3.</w:t>
            </w:r>
            <w:r w:rsidRPr="00EB7F75">
              <w:rPr>
                <w:rFonts w:ascii="Verdana" w:hAnsi="Verdana" w:cs="宋体"/>
                <w:color w:val="auto"/>
              </w:rPr>
              <w:t>急性时相反应蛋白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）概念、种类</w:t>
            </w:r>
          </w:p>
        </w:tc>
        <w:tc>
          <w:tcPr>
            <w:tcW w:w="1325" w:type="dxa"/>
            <w:vMerge w:val="restart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63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）急性时相反应蛋白在急性时相反应进程中的变化特点及临床意义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420"/>
          <w:tblCellSpacing w:w="0" w:type="dxa"/>
          <w:jc w:val="center"/>
        </w:trPr>
        <w:tc>
          <w:tcPr>
            <w:tcW w:w="1037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五、诊断酶学</w:t>
            </w: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血清酶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）分类、生理变异与病理生理机制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B7F75" w:rsidRPr="00EB7F75" w:rsidTr="00EB7F75">
        <w:trPr>
          <w:trHeight w:val="42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）酶活性与</w:t>
            </w:r>
            <w:proofErr w:type="gramStart"/>
            <w:r w:rsidRPr="00EB7F75">
              <w:rPr>
                <w:rFonts w:ascii="Verdana" w:hAnsi="Verdana" w:cs="宋体"/>
                <w:color w:val="auto"/>
              </w:rPr>
              <w:t>酶质量</w:t>
            </w:r>
            <w:proofErr w:type="gramEnd"/>
            <w:r w:rsidRPr="00EB7F75">
              <w:rPr>
                <w:rFonts w:ascii="Verdana" w:hAnsi="Verdana" w:cs="宋体"/>
                <w:color w:val="auto"/>
              </w:rPr>
              <w:t>测定方法及其评价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42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）同工酶及其亚型测定的临床意义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常用血清酶及同工酶测定的参考值及临床意义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）肌酸激酶及同工酶和其亚型</w:t>
            </w:r>
          </w:p>
        </w:tc>
        <w:tc>
          <w:tcPr>
            <w:tcW w:w="1325" w:type="dxa"/>
            <w:vMerge w:val="restart"/>
            <w:noWrap/>
            <w:vAlign w:val="center"/>
            <w:hideMark/>
          </w:tcPr>
          <w:p w:rsidR="00EB7F75" w:rsidRPr="00EB7F75" w:rsidRDefault="00EB7F75" w:rsidP="00EB7F7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）乳酸脱氢酶及同工酶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）氨基转移酶及同工酶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）碱性磷酸酶及同工酶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42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5</w:t>
            </w:r>
            <w:r w:rsidRPr="00EB7F75">
              <w:rPr>
                <w:rFonts w:ascii="Verdana" w:hAnsi="Verdana" w:cs="宋体"/>
                <w:color w:val="auto"/>
              </w:rPr>
              <w:t>）</w:t>
            </w:r>
            <w:r w:rsidRPr="00EB7F75">
              <w:rPr>
                <w:rFonts w:ascii="Verdana" w:hAnsi="Verdana" w:cs="宋体"/>
                <w:color w:val="auto"/>
              </w:rPr>
              <w:t>γ</w:t>
            </w:r>
            <w:r w:rsidRPr="00EB7F75">
              <w:rPr>
                <w:rFonts w:ascii="Verdana" w:hAnsi="Verdana" w:cs="宋体"/>
                <w:color w:val="auto"/>
              </w:rPr>
              <w:t>－谷氨酰基转移酶及同工酶</w:t>
            </w:r>
          </w:p>
        </w:tc>
        <w:tc>
          <w:tcPr>
            <w:tcW w:w="1325" w:type="dxa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6</w:t>
            </w:r>
            <w:r w:rsidRPr="00EB7F75">
              <w:rPr>
                <w:rFonts w:ascii="Verdana" w:hAnsi="Verdana" w:cs="宋体"/>
                <w:color w:val="auto"/>
              </w:rPr>
              <w:t>）淀粉酶及同工酶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7</w:t>
            </w:r>
            <w:r w:rsidRPr="00EB7F75">
              <w:rPr>
                <w:rFonts w:ascii="Verdana" w:hAnsi="Verdana" w:cs="宋体"/>
                <w:color w:val="auto"/>
              </w:rPr>
              <w:t>）酸性磷酸酶及同工酶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534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3.</w:t>
            </w:r>
            <w:r w:rsidRPr="00EB7F75">
              <w:rPr>
                <w:rFonts w:ascii="Verdana" w:hAnsi="Verdana" w:cs="宋体"/>
                <w:color w:val="auto"/>
              </w:rPr>
              <w:t>酶促反应动力学</w:t>
            </w: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）酶促反应</w:t>
            </w:r>
          </w:p>
        </w:tc>
        <w:tc>
          <w:tcPr>
            <w:tcW w:w="1325" w:type="dxa"/>
            <w:vMerge w:val="restart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数量掌握</w:t>
            </w:r>
          </w:p>
        </w:tc>
        <w:tc>
          <w:tcPr>
            <w:tcW w:w="1325" w:type="dxa"/>
            <w:vMerge w:val="restart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 xml:space="preserve">　</w:t>
            </w:r>
          </w:p>
        </w:tc>
      </w:tr>
      <w:tr w:rsidR="00EB7F75" w:rsidRPr="00EB7F75" w:rsidTr="00EB7F75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10" w:type="dxa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）酶活性浓度测定方法</w:t>
            </w: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</w:tbl>
    <w:p w:rsidR="00E57EDF" w:rsidRPr="00E57EDF" w:rsidRDefault="00E57EDF" w:rsidP="00E57EDF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00"/>
      </w:tblGrid>
      <w:tr w:rsidR="00E57EDF" w:rsidRPr="00E57EDF" w:rsidTr="00E57EDF">
        <w:trPr>
          <w:tblCellSpacing w:w="0" w:type="dxa"/>
          <w:jc w:val="center"/>
        </w:trPr>
        <w:tc>
          <w:tcPr>
            <w:tcW w:w="8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EDF" w:rsidRPr="00E57EDF" w:rsidRDefault="00E57EDF" w:rsidP="00E57EDF">
            <w:pPr>
              <w:widowControl/>
              <w:jc w:val="center"/>
              <w:rPr>
                <w:rFonts w:ascii="Verdana" w:hAnsi="Verdana" w:cs="宋体"/>
                <w:color w:val="006500"/>
                <w:sz w:val="11"/>
                <w:szCs w:val="11"/>
              </w:rPr>
            </w:pPr>
            <w:r>
              <w:rPr>
                <w:rFonts w:ascii="Verdana" w:hAnsi="Verdana" w:cs="宋体"/>
                <w:noProof/>
                <w:color w:val="006500"/>
                <w:sz w:val="11"/>
                <w:szCs w:val="11"/>
              </w:rPr>
              <w:drawing>
                <wp:inline distT="0" distB="0" distL="0" distR="0">
                  <wp:extent cx="5104765" cy="2591435"/>
                  <wp:effectExtent l="19050" t="0" r="635" b="0"/>
                  <wp:docPr id="1" name="图片 1" descr="http://www.med66.com/upload/html/2012/12/24/zj123602012122409160655436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ed66.com/upload/html/2012/12/24/zj123602012122409160655436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4765" cy="2591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7EDF" w:rsidRPr="00E57EDF" w:rsidRDefault="00E57EDF" w:rsidP="00E57EDF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967"/>
        <w:gridCol w:w="73"/>
        <w:gridCol w:w="1667"/>
        <w:gridCol w:w="39"/>
        <w:gridCol w:w="2424"/>
        <w:gridCol w:w="1465"/>
        <w:gridCol w:w="1465"/>
      </w:tblGrid>
      <w:tr w:rsidR="00EB7F75" w:rsidRPr="00EB7F75" w:rsidTr="00EB7F75">
        <w:trPr>
          <w:tblCellSpacing w:w="0" w:type="dxa"/>
          <w:jc w:val="center"/>
        </w:trPr>
        <w:tc>
          <w:tcPr>
            <w:tcW w:w="1055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七、钙、磷、镁代谢与微量元素</w:t>
            </w:r>
          </w:p>
        </w:tc>
        <w:tc>
          <w:tcPr>
            <w:tcW w:w="1709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钙、磷、镁代谢</w:t>
            </w:r>
          </w:p>
        </w:tc>
        <w:tc>
          <w:tcPr>
            <w:tcW w:w="2446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）钙、磷、镁的生理功能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46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）钙、磷、镁代谢及其调节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46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）钙、磷、镁测定的参考值、临床意义及方法评价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709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微量元素</w:t>
            </w:r>
          </w:p>
        </w:tc>
        <w:tc>
          <w:tcPr>
            <w:tcW w:w="2446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）微量元素分布及生理功能</w:t>
            </w:r>
          </w:p>
        </w:tc>
        <w:tc>
          <w:tcPr>
            <w:tcW w:w="1445" w:type="dxa"/>
            <w:vMerge w:val="restart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46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）锌、铜、硒、铬、钴、锰、氟、碘的生理作用与代谢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46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）微量元素与疾病的关系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blCellSpacing w:w="0" w:type="dxa"/>
          <w:jc w:val="center"/>
        </w:trPr>
        <w:tc>
          <w:tcPr>
            <w:tcW w:w="982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八、治疗药物监测</w:t>
            </w: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治疗药物代谢与监测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）药物在体内运转的基本过程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）药代动力学基本概念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）影响血药浓度主要因素与药物效应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）临床上需要进行监测的药物和临床指征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治疗药物监测方法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）标本采集时间与注意事项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）常用测定方法种类及原理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blCellSpacing w:w="0" w:type="dxa"/>
          <w:jc w:val="center"/>
        </w:trPr>
        <w:tc>
          <w:tcPr>
            <w:tcW w:w="982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九、心肌损伤的标志</w:t>
            </w:r>
            <w:r w:rsidRPr="00EB7F75">
              <w:rPr>
                <w:rFonts w:ascii="Verdana" w:hAnsi="Verdana" w:cs="宋体"/>
                <w:color w:val="auto"/>
              </w:rPr>
              <w:lastRenderedPageBreak/>
              <w:t>物</w:t>
            </w: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lastRenderedPageBreak/>
              <w:t>1.</w:t>
            </w:r>
            <w:r w:rsidRPr="00EB7F75">
              <w:rPr>
                <w:rFonts w:ascii="Verdana" w:hAnsi="Verdana" w:cs="宋体"/>
                <w:color w:val="auto"/>
              </w:rPr>
              <w:t>酶学检查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）急性心肌梗死时心肌酶及标志蛋白的动态变化</w:t>
            </w:r>
          </w:p>
        </w:tc>
        <w:tc>
          <w:tcPr>
            <w:tcW w:w="144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）肌酸激酶及同工酶和同工酶亚型、乳酸脱氢酶及同工酶检查在心肌损伤诊断中的临床意义及方法评价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B7F75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肌钙蛋白、肌红蛋白检查及</w:t>
            </w:r>
            <w:r w:rsidRPr="00EB7F75">
              <w:rPr>
                <w:rFonts w:ascii="Verdana" w:hAnsi="Verdana" w:cs="宋体"/>
                <w:color w:val="auto"/>
              </w:rPr>
              <w:t>BNP/</w:t>
            </w:r>
            <w:proofErr w:type="spellStart"/>
            <w:r w:rsidRPr="00EB7F75">
              <w:rPr>
                <w:rFonts w:ascii="Verdana" w:hAnsi="Verdana" w:cs="宋体"/>
                <w:color w:val="auto"/>
              </w:rPr>
              <w:t>NTproBNP</w:t>
            </w:r>
            <w:proofErr w:type="spellEnd"/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）肌钙蛋白</w:t>
            </w:r>
            <w:r w:rsidRPr="00EB7F75">
              <w:rPr>
                <w:rFonts w:ascii="Verdana" w:hAnsi="Verdana" w:cs="宋体"/>
                <w:color w:val="auto"/>
              </w:rPr>
              <w:t>T</w:t>
            </w:r>
            <w:r w:rsidRPr="00EB7F75">
              <w:rPr>
                <w:rFonts w:ascii="Verdana" w:hAnsi="Verdana" w:cs="宋体"/>
                <w:color w:val="auto"/>
              </w:rPr>
              <w:t>和</w:t>
            </w:r>
            <w:r w:rsidRPr="00EB7F75">
              <w:rPr>
                <w:rFonts w:ascii="Verdana" w:hAnsi="Verdana" w:cs="宋体"/>
                <w:color w:val="auto"/>
              </w:rPr>
              <w:t>I</w:t>
            </w:r>
            <w:r w:rsidRPr="00EB7F75">
              <w:rPr>
                <w:rFonts w:ascii="Verdana" w:hAnsi="Verdana" w:cs="宋体"/>
                <w:color w:val="auto"/>
              </w:rPr>
              <w:t>的测定及其在心肌损伤诊断中的临床意义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96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）超敏肌钙蛋白</w:t>
            </w:r>
            <w:r w:rsidRPr="00EB7F75">
              <w:rPr>
                <w:rFonts w:ascii="Verdana" w:hAnsi="Verdana" w:cs="宋体"/>
                <w:color w:val="auto"/>
              </w:rPr>
              <w:t>T</w:t>
            </w:r>
            <w:r w:rsidRPr="00EB7F75">
              <w:rPr>
                <w:rFonts w:ascii="Verdana" w:hAnsi="Verdana" w:cs="宋体"/>
                <w:color w:val="auto"/>
              </w:rPr>
              <w:t>和</w:t>
            </w:r>
            <w:r w:rsidRPr="00EB7F75">
              <w:rPr>
                <w:rFonts w:ascii="Verdana" w:hAnsi="Verdana" w:cs="宋体"/>
                <w:color w:val="auto"/>
              </w:rPr>
              <w:t>I</w:t>
            </w:r>
            <w:r w:rsidRPr="00EB7F75">
              <w:rPr>
                <w:rFonts w:ascii="Verdana" w:hAnsi="Verdana" w:cs="宋体"/>
                <w:color w:val="auto"/>
              </w:rPr>
              <w:t>的测定及其临床意义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EB7F75" w:rsidRPr="00EB7F75" w:rsidRDefault="00EB7F75" w:rsidP="00EB7F75">
            <w:pPr>
              <w:jc w:val="center"/>
              <w:rPr>
                <w:rFonts w:ascii="Verdana" w:hAnsi="Verdana" w:cs="宋体"/>
              </w:rPr>
            </w:pPr>
            <w:r w:rsidRPr="00EB7F75">
              <w:rPr>
                <w:rFonts w:ascii="Verdana" w:hAnsi="Verdana" w:cs="宋体"/>
              </w:rPr>
              <w:t>了解</w:t>
            </w:r>
          </w:p>
        </w:tc>
        <w:tc>
          <w:tcPr>
            <w:tcW w:w="144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96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）肌红蛋白测定及其在心肌损伤诊断中的临床意义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7F75" w:rsidRDefault="00EB7F75" w:rsidP="00EB7F75">
            <w:pPr>
              <w:jc w:val="center"/>
            </w:pPr>
            <w:r w:rsidRPr="003C4BB9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rHeight w:val="1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）在诊断心肌梗塞和进行溶栓治疗时，综合考虑应选择的试验及其临床意义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7F75" w:rsidRDefault="00EB7F75" w:rsidP="00EB7F75">
            <w:pPr>
              <w:jc w:val="center"/>
            </w:pPr>
            <w:r w:rsidRPr="003C4BB9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B7F75" w:rsidRPr="00EB7F75" w:rsidRDefault="00EB7F75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5</w:t>
            </w:r>
            <w:r w:rsidRPr="00EB7F75">
              <w:rPr>
                <w:rFonts w:ascii="Verdana" w:hAnsi="Verdana" w:cs="宋体"/>
                <w:color w:val="auto"/>
              </w:rPr>
              <w:t>）</w:t>
            </w:r>
            <w:r w:rsidRPr="00EB7F75">
              <w:rPr>
                <w:rFonts w:ascii="Verdana" w:hAnsi="Verdana" w:cs="宋体"/>
                <w:color w:val="auto"/>
              </w:rPr>
              <w:t>BNP/</w:t>
            </w:r>
            <w:proofErr w:type="spellStart"/>
            <w:r w:rsidRPr="00EB7F75">
              <w:rPr>
                <w:rFonts w:ascii="Verdana" w:hAnsi="Verdana" w:cs="宋体"/>
                <w:color w:val="auto"/>
              </w:rPr>
              <w:t>NTproBNP</w:t>
            </w:r>
            <w:proofErr w:type="spellEnd"/>
            <w:r w:rsidRPr="00EB7F75">
              <w:rPr>
                <w:rFonts w:ascii="Verdana" w:hAnsi="Verdana" w:cs="宋体"/>
                <w:color w:val="auto"/>
              </w:rPr>
              <w:t>临床应用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7F75" w:rsidRDefault="00EB7F75" w:rsidP="00EB7F75">
            <w:pPr>
              <w:jc w:val="center"/>
            </w:pPr>
            <w:r w:rsidRPr="003C4BB9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B7F75" w:rsidRPr="00EB7F75" w:rsidRDefault="00EB7F75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blCellSpacing w:w="0" w:type="dxa"/>
          <w:jc w:val="center"/>
        </w:trPr>
        <w:tc>
          <w:tcPr>
            <w:tcW w:w="982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十、肝胆疾病的实验室检查</w:t>
            </w: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肝胆生化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r w:rsidRPr="00EB7F75">
              <w:rPr>
                <w:rFonts w:ascii="Verdana" w:hAnsi="Verdana" w:cs="宋体"/>
                <w:color w:val="auto"/>
              </w:rPr>
              <w:t>肝脏的代谢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r w:rsidRPr="00EB7F75">
              <w:rPr>
                <w:rFonts w:ascii="Verdana" w:hAnsi="Verdana" w:cs="宋体"/>
                <w:color w:val="auto"/>
              </w:rPr>
              <w:t>肝脏的生物转化功能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r w:rsidRPr="00EB7F75">
              <w:rPr>
                <w:rFonts w:ascii="Verdana" w:hAnsi="Verdana" w:cs="宋体"/>
                <w:color w:val="auto"/>
              </w:rPr>
              <w:t>胆汁酸代谢紊乱与疾病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r w:rsidRPr="00EB7F75">
              <w:rPr>
                <w:rFonts w:ascii="Verdana" w:hAnsi="Verdana" w:cs="宋体"/>
                <w:color w:val="auto"/>
              </w:rPr>
              <w:t>胆红素代谢与黄疸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肝胆疾病的检查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）酶学检查（</w:t>
            </w:r>
            <w:r w:rsidRPr="00EB7F75">
              <w:rPr>
                <w:rFonts w:ascii="Verdana" w:hAnsi="Verdana" w:cs="宋体"/>
                <w:color w:val="auto"/>
              </w:rPr>
              <w:t>ALT</w:t>
            </w:r>
            <w:r w:rsidRPr="00EB7F75">
              <w:rPr>
                <w:rFonts w:ascii="Verdana" w:hAnsi="Verdana" w:cs="宋体"/>
                <w:color w:val="auto"/>
              </w:rPr>
              <w:t>、</w:t>
            </w:r>
            <w:r w:rsidRPr="00EB7F75">
              <w:rPr>
                <w:rFonts w:ascii="Verdana" w:hAnsi="Verdana" w:cs="宋体"/>
                <w:color w:val="auto"/>
              </w:rPr>
              <w:t>AST</w:t>
            </w:r>
            <w:r w:rsidRPr="00EB7F75">
              <w:rPr>
                <w:rFonts w:ascii="Verdana" w:hAnsi="Verdana" w:cs="宋体"/>
                <w:color w:val="auto"/>
              </w:rPr>
              <w:t>、</w:t>
            </w:r>
            <w:r w:rsidRPr="00EB7F75">
              <w:rPr>
                <w:rFonts w:ascii="Verdana" w:hAnsi="Verdana" w:cs="宋体"/>
                <w:color w:val="auto"/>
              </w:rPr>
              <w:t>ALP</w:t>
            </w:r>
            <w:r w:rsidRPr="00EB7F75">
              <w:rPr>
                <w:rFonts w:ascii="Verdana" w:hAnsi="Verdana" w:cs="宋体"/>
                <w:color w:val="auto"/>
              </w:rPr>
              <w:t>、</w:t>
            </w:r>
            <w:r w:rsidRPr="00EB7F75">
              <w:rPr>
                <w:rFonts w:ascii="Verdana" w:hAnsi="Verdana" w:cs="宋体"/>
                <w:color w:val="auto"/>
              </w:rPr>
              <w:t>GGT</w:t>
            </w:r>
            <w:r w:rsidRPr="00EB7F75">
              <w:rPr>
                <w:rFonts w:ascii="Verdana" w:hAnsi="Verdana" w:cs="宋体"/>
                <w:color w:val="auto"/>
              </w:rPr>
              <w:t>、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proofErr w:type="spellStart"/>
            <w:r w:rsidRPr="00EB7F75">
              <w:rPr>
                <w:rFonts w:ascii="Verdana" w:hAnsi="Verdana" w:cs="宋体"/>
                <w:color w:val="auto"/>
              </w:rPr>
              <w:t>ChE</w:t>
            </w:r>
            <w:proofErr w:type="spellEnd"/>
            <w:r w:rsidRPr="00EB7F75">
              <w:rPr>
                <w:rFonts w:ascii="Verdana" w:hAnsi="Verdana" w:cs="宋体"/>
                <w:color w:val="auto"/>
              </w:rPr>
              <w:t>）方法学评价、参考值及临床意义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）胆红素代谢产物（血浆总胆红素、结合与未结合胆红素，尿胆红素及尿胆原）和胆汁酸测定的方法</w:t>
            </w:r>
            <w:proofErr w:type="gramStart"/>
            <w:r w:rsidRPr="00EB7F75">
              <w:rPr>
                <w:rFonts w:ascii="Verdana" w:hAnsi="Verdana" w:cs="宋体"/>
                <w:color w:val="auto"/>
              </w:rPr>
              <w:t>学评价</w:t>
            </w:r>
            <w:proofErr w:type="gramEnd"/>
            <w:r w:rsidRPr="00EB7F75">
              <w:rPr>
                <w:rFonts w:ascii="Verdana" w:hAnsi="Verdana" w:cs="宋体"/>
                <w:color w:val="auto"/>
              </w:rPr>
              <w:t>及临床意义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）肝纤维化标志物（</w:t>
            </w:r>
            <w:r w:rsidRPr="00EB7F75">
              <w:rPr>
                <w:rFonts w:hAnsi="宋体" w:cs="宋体"/>
                <w:color w:val="auto"/>
              </w:rPr>
              <w:t>Ⅲ</w:t>
            </w:r>
            <w:r w:rsidRPr="00EB7F75">
              <w:rPr>
                <w:rFonts w:ascii="Verdana" w:hAnsi="Verdana" w:cs="宋体"/>
                <w:color w:val="auto"/>
              </w:rPr>
              <w:t>、</w:t>
            </w:r>
            <w:r w:rsidRPr="00EB7F75">
              <w:rPr>
                <w:rFonts w:hAnsi="宋体" w:cs="宋体"/>
                <w:color w:val="auto"/>
              </w:rPr>
              <w:t>Ⅳ</w:t>
            </w:r>
            <w:r w:rsidRPr="00EB7F75">
              <w:rPr>
                <w:rFonts w:ascii="Verdana" w:hAnsi="Verdana" w:cs="宋体"/>
                <w:color w:val="auto"/>
              </w:rPr>
              <w:t>型胶原等）的测定及其临床意义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）肝昏迷时的生化变化及血氨测定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3.</w:t>
            </w:r>
            <w:r w:rsidRPr="00EB7F75">
              <w:rPr>
                <w:rFonts w:ascii="Verdana" w:hAnsi="Verdana" w:cs="宋体"/>
                <w:color w:val="auto"/>
              </w:rPr>
              <w:t>肝细胞损伤时的其他有关检查及临床意义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）蛋白质代谢异常的检查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）糖代谢异常的检查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）脂代谢异常的检查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）各种急、慢性肝病</w:t>
            </w:r>
            <w:proofErr w:type="gramStart"/>
            <w:r w:rsidRPr="00EB7F75">
              <w:rPr>
                <w:rFonts w:ascii="Verdana" w:hAnsi="Verdana" w:cs="宋体"/>
                <w:color w:val="auto"/>
              </w:rPr>
              <w:t>时综合</w:t>
            </w:r>
            <w:proofErr w:type="gramEnd"/>
            <w:r w:rsidRPr="00EB7F75">
              <w:rPr>
                <w:rFonts w:ascii="Verdana" w:hAnsi="Verdana" w:cs="宋体"/>
                <w:color w:val="auto"/>
              </w:rPr>
              <w:t>考虑应选择的试验及其临床意义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B7F75" w:rsidRPr="00EB7F75" w:rsidTr="00EB7F75">
        <w:trPr>
          <w:tblCellSpacing w:w="0" w:type="dxa"/>
          <w:jc w:val="center"/>
        </w:trPr>
        <w:tc>
          <w:tcPr>
            <w:tcW w:w="982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十一、肾功能及早期肾损伤的检查</w:t>
            </w: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肾脏的功能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）肾小球的滤过功能</w:t>
            </w:r>
          </w:p>
        </w:tc>
        <w:tc>
          <w:tcPr>
            <w:tcW w:w="144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）肾小管的重吸收功能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）肾小管与集合管的排泄功能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）肾功能的调节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肾小球功能检查及其临床意义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）内生肌酐清除率、血清肌</w:t>
            </w:r>
            <w:proofErr w:type="gramStart"/>
            <w:r w:rsidRPr="00EB7F75">
              <w:rPr>
                <w:rFonts w:ascii="Verdana" w:hAnsi="Verdana" w:cs="宋体"/>
                <w:color w:val="auto"/>
              </w:rPr>
              <w:t>酐</w:t>
            </w:r>
            <w:proofErr w:type="gramEnd"/>
            <w:r w:rsidRPr="00EB7F75">
              <w:rPr>
                <w:rFonts w:ascii="Verdana" w:hAnsi="Verdana" w:cs="宋体"/>
                <w:color w:val="auto"/>
              </w:rPr>
              <w:t>、尿素和尿酸测定及临床意义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）各试验的灵敏性、特异性、测定方法及评价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3.</w:t>
            </w:r>
            <w:r w:rsidRPr="00EB7F75">
              <w:rPr>
                <w:rFonts w:ascii="Verdana" w:hAnsi="Verdana" w:cs="宋体"/>
                <w:color w:val="auto"/>
              </w:rPr>
              <w:t>肾小管功能检查及其临床意义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）有关近端肾小管功能检查的试验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）肾浓缩稀释试验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）尿渗量与血浆渗量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）各试验的参考值及临床意义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4.</w:t>
            </w:r>
            <w:r w:rsidRPr="00EB7F75">
              <w:rPr>
                <w:rFonts w:ascii="Verdana" w:hAnsi="Verdana" w:cs="宋体"/>
                <w:color w:val="auto"/>
              </w:rPr>
              <w:t>早期肾损伤检查及其临床意义</w:t>
            </w: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）尿微量白蛋白及转铁蛋白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）尿酶的有关检查</w:t>
            </w:r>
          </w:p>
        </w:tc>
        <w:tc>
          <w:tcPr>
            <w:tcW w:w="14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485" w:type="dxa"/>
            <w:gridSpan w:val="2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</w:t>
            </w:r>
            <w:proofErr w:type="gramStart"/>
            <w:r w:rsidRPr="00EB7F75">
              <w:rPr>
                <w:rFonts w:ascii="Verdana" w:hAnsi="Verdana" w:cs="宋体"/>
                <w:color w:val="auto"/>
              </w:rPr>
              <w:t>尿低分子量</w:t>
            </w:r>
            <w:proofErr w:type="gramEnd"/>
            <w:r w:rsidRPr="00EB7F75">
              <w:rPr>
                <w:rFonts w:ascii="Verdana" w:hAnsi="Verdana" w:cs="宋体"/>
                <w:color w:val="auto"/>
              </w:rPr>
              <w:t>蛋白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44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</w:tbl>
    <w:p w:rsidR="00E57EDF" w:rsidRPr="00E57EDF" w:rsidRDefault="00E57EDF" w:rsidP="00E57EDF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43"/>
      </w:tblGrid>
      <w:tr w:rsidR="00E57EDF" w:rsidRPr="00E57EDF" w:rsidTr="00E57EDF">
        <w:trPr>
          <w:tblCellSpacing w:w="0" w:type="dxa"/>
          <w:jc w:val="center"/>
        </w:trPr>
        <w:tc>
          <w:tcPr>
            <w:tcW w:w="8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EDF" w:rsidRPr="00E57EDF" w:rsidRDefault="00E57EDF" w:rsidP="00E57EDF">
            <w:pPr>
              <w:widowControl/>
              <w:jc w:val="center"/>
              <w:rPr>
                <w:rFonts w:ascii="Verdana" w:hAnsi="Verdana" w:cs="宋体"/>
                <w:color w:val="006500"/>
                <w:sz w:val="11"/>
                <w:szCs w:val="11"/>
              </w:rPr>
            </w:pPr>
            <w:r>
              <w:rPr>
                <w:rFonts w:ascii="Verdana" w:hAnsi="Verdana" w:cs="宋体"/>
                <w:noProof/>
                <w:color w:val="006500"/>
                <w:sz w:val="11"/>
                <w:szCs w:val="11"/>
              </w:rPr>
              <w:drawing>
                <wp:inline distT="0" distB="0" distL="0" distR="0">
                  <wp:extent cx="5132705" cy="1638300"/>
                  <wp:effectExtent l="19050" t="0" r="0" b="0"/>
                  <wp:docPr id="2" name="图片 2" descr="http://www.med66.com/upload/html/2012/12/24/zj3398320121224091618224017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med66.com/upload/html/2012/12/24/zj3398320121224091618224017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2705" cy="163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7EDF" w:rsidRPr="00E57EDF" w:rsidRDefault="00E57EDF" w:rsidP="00E57EDF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58"/>
        <w:gridCol w:w="1627"/>
        <w:gridCol w:w="2825"/>
        <w:gridCol w:w="1295"/>
        <w:gridCol w:w="1295"/>
      </w:tblGrid>
      <w:tr w:rsidR="00E57EDF" w:rsidRPr="00EB7F75" w:rsidTr="00EB7F75">
        <w:trPr>
          <w:tblCellSpacing w:w="0" w:type="dxa"/>
          <w:jc w:val="center"/>
        </w:trPr>
        <w:tc>
          <w:tcPr>
            <w:tcW w:w="115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十三、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hyperlink r:id="rId8" w:tgtFrame="_blank" w:tooltip="内分泌" w:history="1">
              <w:r w:rsidRPr="00EB7F75">
                <w:rPr>
                  <w:rFonts w:ascii="Verdana" w:hAnsi="Verdana" w:cs="宋体"/>
                  <w:color w:val="auto"/>
                </w:rPr>
                <w:t>内分泌</w:t>
              </w:r>
            </w:hyperlink>
            <w:r w:rsidRPr="00EB7F75">
              <w:rPr>
                <w:rFonts w:ascii="Verdana" w:hAnsi="Verdana" w:cs="宋体"/>
                <w:color w:val="auto"/>
              </w:rPr>
              <w:t>疾病的检查</w:t>
            </w:r>
          </w:p>
        </w:tc>
        <w:tc>
          <w:tcPr>
            <w:tcW w:w="184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甲状腺内分泌功能紊乱的检查</w:t>
            </w: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）甲状腺激素代谢及其调节</w:t>
            </w:r>
          </w:p>
        </w:tc>
        <w:tc>
          <w:tcPr>
            <w:tcW w:w="127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）甲状腺功能紊乱与其主要临床生化改变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）甲状腺激素与促甲状腺激素测定及其临床意义、相关疾病的实验诊断程序</w:t>
            </w:r>
          </w:p>
        </w:tc>
        <w:tc>
          <w:tcPr>
            <w:tcW w:w="127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84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肾上腺内分泌功能紊乱的检查</w:t>
            </w: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）肾上腺激素代谢及其调节</w:t>
            </w:r>
          </w:p>
        </w:tc>
        <w:tc>
          <w:tcPr>
            <w:tcW w:w="127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）肾上腺功能紊乱与主要临床生化改变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）肾上腺髓质激素代谢物测定在嗜铬细胞病诊断中的应用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）血、尿中糖皮质激素代谢物测定的临床意义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84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3.</w:t>
            </w:r>
            <w:r w:rsidRPr="00EB7F75">
              <w:rPr>
                <w:rFonts w:ascii="Verdana" w:hAnsi="Verdana" w:cs="宋体"/>
                <w:color w:val="auto"/>
              </w:rPr>
              <w:t>下丘脑</w:t>
            </w:r>
            <w:r w:rsidRPr="00EB7F75">
              <w:rPr>
                <w:rFonts w:ascii="Verdana" w:hAnsi="Verdana" w:cs="宋体"/>
                <w:color w:val="auto"/>
              </w:rPr>
              <w:t>-</w:t>
            </w:r>
            <w:r w:rsidRPr="00EB7F75">
              <w:rPr>
                <w:rFonts w:ascii="Verdana" w:hAnsi="Verdana" w:cs="宋体"/>
                <w:color w:val="auto"/>
              </w:rPr>
              <w:t>垂体内分泌功能紊乱的检查</w:t>
            </w: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）下丘脑</w:t>
            </w:r>
            <w:r w:rsidRPr="00EB7F75">
              <w:rPr>
                <w:rFonts w:ascii="Verdana" w:hAnsi="Verdana" w:cs="宋体"/>
                <w:color w:val="auto"/>
              </w:rPr>
              <w:t>-</w:t>
            </w:r>
            <w:r w:rsidRPr="00EB7F75">
              <w:rPr>
                <w:rFonts w:ascii="Verdana" w:hAnsi="Verdana" w:cs="宋体"/>
                <w:color w:val="auto"/>
              </w:rPr>
              <w:t>垂体内分泌激素代谢及其调节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）下丘脑</w:t>
            </w:r>
            <w:r w:rsidRPr="00EB7F75">
              <w:rPr>
                <w:rFonts w:ascii="Verdana" w:hAnsi="Verdana" w:cs="宋体"/>
                <w:color w:val="auto"/>
              </w:rPr>
              <w:t>-</w:t>
            </w:r>
            <w:r w:rsidRPr="00EB7F75">
              <w:rPr>
                <w:rFonts w:ascii="Verdana" w:hAnsi="Verdana" w:cs="宋体"/>
                <w:color w:val="auto"/>
              </w:rPr>
              <w:t>垂体内分泌功能紊乱与临床生化改变</w:t>
            </w:r>
          </w:p>
        </w:tc>
        <w:tc>
          <w:tcPr>
            <w:tcW w:w="1275" w:type="dxa"/>
            <w:vMerge w:val="restart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）生长激素测定的临床意义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84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4.</w:t>
            </w:r>
            <w:r w:rsidRPr="00EB7F75">
              <w:rPr>
                <w:rFonts w:ascii="Verdana" w:hAnsi="Verdana" w:cs="宋体"/>
                <w:color w:val="auto"/>
              </w:rPr>
              <w:t>性腺内分泌功能紊乱的检查</w:t>
            </w: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）性激素的功能及其分泌调节</w:t>
            </w:r>
          </w:p>
        </w:tc>
        <w:tc>
          <w:tcPr>
            <w:tcW w:w="1275" w:type="dxa"/>
            <w:vMerge w:val="restart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）性激素分泌功能紊乱与临床生化改变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）性激素测定的临床意义、相关疾病的实验诊断选择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115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十四、临床化学常用分析技术</w:t>
            </w:r>
          </w:p>
        </w:tc>
        <w:tc>
          <w:tcPr>
            <w:tcW w:w="184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临床化学常用分析方法</w:t>
            </w: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光谱分析、电泳技术、离心技术、层析技术、电化学分析技术的基本原理和应用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84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2.</w:t>
            </w:r>
            <w:r w:rsidRPr="00EB7F75">
              <w:rPr>
                <w:rFonts w:ascii="Verdana" w:hAnsi="Verdana" w:cs="宋体"/>
                <w:color w:val="auto"/>
              </w:rPr>
              <w:t>酶和代谢物分析技术</w:t>
            </w: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</w:t>
            </w:r>
            <w:proofErr w:type="gramStart"/>
            <w:r w:rsidRPr="00EB7F75">
              <w:rPr>
                <w:rFonts w:ascii="Verdana" w:hAnsi="Verdana" w:cs="宋体"/>
                <w:color w:val="auto"/>
              </w:rPr>
              <w:t>酶质量</w:t>
            </w:r>
            <w:proofErr w:type="gramEnd"/>
            <w:r w:rsidRPr="00EB7F75">
              <w:rPr>
                <w:rFonts w:ascii="Verdana" w:hAnsi="Verdana" w:cs="宋体"/>
                <w:color w:val="auto"/>
              </w:rPr>
              <w:t>分析技术、原理和应用评价</w:t>
            </w:r>
          </w:p>
        </w:tc>
        <w:tc>
          <w:tcPr>
            <w:tcW w:w="1275" w:type="dxa"/>
            <w:vMerge w:val="restart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）酶活性测定方法分类、原理、优缺点及应用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）工具酶的概念、代谢物测定中常用的指示反应、代谢物测定的方法分类及其特点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84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3.</w:t>
            </w:r>
            <w:r w:rsidRPr="00EB7F75">
              <w:rPr>
                <w:rFonts w:ascii="Verdana" w:hAnsi="Verdana" w:cs="宋体"/>
                <w:color w:val="auto"/>
              </w:rPr>
              <w:t>临床化学方法的建立</w:t>
            </w: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）方法建立的根据</w:t>
            </w:r>
          </w:p>
        </w:tc>
        <w:tc>
          <w:tcPr>
            <w:tcW w:w="1275" w:type="dxa"/>
            <w:vMerge w:val="restart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）方法的建立过程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）方法的评价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  <w:r w:rsidRPr="00EB7F75">
              <w:rPr>
                <w:rFonts w:ascii="Verdana" w:hAnsi="Verdana" w:cs="宋体"/>
                <w:color w:val="auto"/>
              </w:rPr>
              <w:t>）方法建立后的临床观察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115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十五、</w:t>
            </w:r>
            <w:r w:rsidRPr="00EB7F75">
              <w:rPr>
                <w:rFonts w:ascii="Verdana" w:hAnsi="Verdana" w:cs="宋体"/>
                <w:color w:val="auto"/>
              </w:rPr>
              <w:t xml:space="preserve"> </w:t>
            </w:r>
            <w:r w:rsidRPr="00EB7F75">
              <w:rPr>
                <w:rFonts w:ascii="Verdana" w:hAnsi="Verdana" w:cs="宋体"/>
                <w:color w:val="auto"/>
              </w:rPr>
              <w:t>临床化学自动分析仪</w:t>
            </w:r>
          </w:p>
        </w:tc>
        <w:tc>
          <w:tcPr>
            <w:tcW w:w="1845" w:type="dxa"/>
            <w:vMerge w:val="restart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1.</w:t>
            </w:r>
            <w:r w:rsidRPr="00EB7F75">
              <w:rPr>
                <w:rFonts w:ascii="Verdana" w:hAnsi="Verdana" w:cs="宋体"/>
                <w:color w:val="auto"/>
              </w:rPr>
              <w:t>临床化学自动分析仪的类型与性能评价</w:t>
            </w: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1</w:t>
            </w:r>
            <w:r w:rsidRPr="00EB7F75">
              <w:rPr>
                <w:rFonts w:ascii="Verdana" w:hAnsi="Verdana" w:cs="宋体"/>
                <w:color w:val="auto"/>
              </w:rPr>
              <w:t>）临床化学自动分析仪的类型、工作原理、优缺点及性能评价</w:t>
            </w:r>
          </w:p>
        </w:tc>
        <w:tc>
          <w:tcPr>
            <w:tcW w:w="1275" w:type="dxa"/>
            <w:vMerge w:val="restart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熟悉</w:t>
            </w: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  <w:tr w:rsidR="00E57EDF" w:rsidRPr="00EB7F75" w:rsidTr="00EB7F7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805" w:type="dxa"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（</w:t>
            </w:r>
            <w:r w:rsidRPr="00EB7F75">
              <w:rPr>
                <w:rFonts w:ascii="Verdana" w:hAnsi="Verdana" w:cs="宋体"/>
                <w:color w:val="auto"/>
              </w:rPr>
              <w:t>2</w:t>
            </w:r>
            <w:r w:rsidRPr="00EB7F75">
              <w:rPr>
                <w:rFonts w:ascii="Verdana" w:hAnsi="Verdana" w:cs="宋体"/>
                <w:color w:val="auto"/>
              </w:rPr>
              <w:t>）临床化学自动分析仪的发展方向</w:t>
            </w:r>
          </w:p>
        </w:tc>
        <w:tc>
          <w:tcPr>
            <w:tcW w:w="0" w:type="auto"/>
            <w:vMerge/>
            <w:vAlign w:val="center"/>
            <w:hideMark/>
          </w:tcPr>
          <w:p w:rsidR="00E57EDF" w:rsidRPr="00EB7F75" w:rsidRDefault="00E57EDF" w:rsidP="00E57EDF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E57EDF" w:rsidRPr="00EB7F75" w:rsidRDefault="00E57EDF" w:rsidP="00E57ED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EB7F75">
              <w:rPr>
                <w:rFonts w:ascii="Verdana" w:hAnsi="Verdana" w:cs="宋体"/>
                <w:color w:val="auto"/>
              </w:rPr>
              <w:t>3</w:t>
            </w:r>
            <w:r w:rsidRPr="00EB7F75">
              <w:rPr>
                <w:rFonts w:ascii="Verdana" w:hAnsi="Verdana" w:cs="宋体"/>
                <w:color w:val="auto"/>
              </w:rPr>
              <w:t>，</w:t>
            </w:r>
            <w:r w:rsidRPr="00EB7F75">
              <w:rPr>
                <w:rFonts w:ascii="Verdana" w:hAnsi="Verdana" w:cs="宋体"/>
                <w:color w:val="auto"/>
              </w:rPr>
              <w:t>4</w:t>
            </w:r>
          </w:p>
        </w:tc>
      </w:tr>
    </w:tbl>
    <w:p w:rsidR="00260488" w:rsidRDefault="00260488"/>
    <w:sectPr w:rsidR="00260488" w:rsidSect="00433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D8E" w:rsidRDefault="00BE7D8E" w:rsidP="00E57EDF">
      <w:r>
        <w:separator/>
      </w:r>
    </w:p>
  </w:endnote>
  <w:endnote w:type="continuationSeparator" w:id="0">
    <w:p w:rsidR="00BE7D8E" w:rsidRDefault="00BE7D8E" w:rsidP="00E57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ZSSK--GBK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D8E" w:rsidRDefault="00BE7D8E" w:rsidP="00E57EDF">
      <w:r>
        <w:separator/>
      </w:r>
    </w:p>
  </w:footnote>
  <w:footnote w:type="continuationSeparator" w:id="0">
    <w:p w:rsidR="00BE7D8E" w:rsidRDefault="00BE7D8E" w:rsidP="00E57E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7EDF"/>
    <w:rsid w:val="001D4FE4"/>
    <w:rsid w:val="00230D8D"/>
    <w:rsid w:val="00260488"/>
    <w:rsid w:val="00405E01"/>
    <w:rsid w:val="004334D5"/>
    <w:rsid w:val="004546E7"/>
    <w:rsid w:val="00864844"/>
    <w:rsid w:val="0091368D"/>
    <w:rsid w:val="009944DF"/>
    <w:rsid w:val="009A45B6"/>
    <w:rsid w:val="00BE7D8E"/>
    <w:rsid w:val="00D03740"/>
    <w:rsid w:val="00E57EDF"/>
    <w:rsid w:val="00EB7F75"/>
    <w:rsid w:val="00FA3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Theme="minorHAnsi" w:cs="FZSSK--GBK1-0"/>
        <w:color w:val="FF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E0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5E01"/>
    <w:pPr>
      <w:widowControl/>
      <w:spacing w:before="100" w:beforeAutospacing="1" w:after="100" w:afterAutospacing="1"/>
      <w:jc w:val="left"/>
      <w:outlineLvl w:val="0"/>
    </w:pPr>
    <w:rPr>
      <w:rFonts w:hAnsi="宋体" w:cs="宋体"/>
      <w:b/>
      <w:bCs/>
      <w:color w:val="auto"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05E01"/>
    <w:pPr>
      <w:widowControl/>
      <w:spacing w:before="100" w:beforeAutospacing="1" w:after="100" w:afterAutospacing="1"/>
      <w:ind w:left="100"/>
      <w:jc w:val="left"/>
      <w:outlineLvl w:val="1"/>
    </w:pPr>
    <w:rPr>
      <w:rFonts w:ascii="Arial" w:hAnsi="Arial" w:cs="Arial"/>
      <w:color w:val="CCCCCC"/>
      <w:sz w:val="20"/>
      <w:szCs w:val="20"/>
    </w:rPr>
  </w:style>
  <w:style w:type="paragraph" w:styleId="3">
    <w:name w:val="heading 3"/>
    <w:basedOn w:val="a"/>
    <w:link w:val="3Char"/>
    <w:uiPriority w:val="9"/>
    <w:qFormat/>
    <w:rsid w:val="00405E01"/>
    <w:pPr>
      <w:widowControl/>
      <w:spacing w:before="100" w:beforeAutospacing="1" w:after="100" w:afterAutospacing="1"/>
      <w:jc w:val="left"/>
      <w:outlineLvl w:val="2"/>
    </w:pPr>
    <w:rPr>
      <w:rFonts w:hAnsi="宋体" w:cs="宋体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5E01"/>
    <w:rPr>
      <w:rFonts w:hAnsi="宋体" w:cs="宋体"/>
      <w:b/>
      <w:bCs/>
      <w:color w:val="auto"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05E01"/>
    <w:rPr>
      <w:rFonts w:ascii="Arial" w:hAnsi="Arial" w:cs="Arial"/>
      <w:color w:val="CCCCCC"/>
      <w:sz w:val="20"/>
      <w:szCs w:val="20"/>
    </w:rPr>
  </w:style>
  <w:style w:type="character" w:customStyle="1" w:styleId="3Char">
    <w:name w:val="标题 3 Char"/>
    <w:basedOn w:val="a0"/>
    <w:link w:val="3"/>
    <w:uiPriority w:val="9"/>
    <w:rsid w:val="00405E01"/>
    <w:rPr>
      <w:rFonts w:hAnsi="宋体" w:cs="宋体"/>
      <w:b/>
      <w:bCs/>
      <w:color w:val="auto"/>
      <w:sz w:val="27"/>
      <w:szCs w:val="27"/>
    </w:rPr>
  </w:style>
  <w:style w:type="character" w:styleId="a3">
    <w:name w:val="Strong"/>
    <w:basedOn w:val="a0"/>
    <w:uiPriority w:val="22"/>
    <w:qFormat/>
    <w:rsid w:val="00405E01"/>
    <w:rPr>
      <w:b/>
      <w:bCs/>
    </w:rPr>
  </w:style>
  <w:style w:type="character" w:styleId="a4">
    <w:name w:val="Emphasis"/>
    <w:basedOn w:val="a0"/>
    <w:uiPriority w:val="20"/>
    <w:qFormat/>
    <w:rsid w:val="00405E01"/>
    <w:rPr>
      <w:i/>
      <w:iCs/>
    </w:rPr>
  </w:style>
  <w:style w:type="paragraph" w:styleId="a5">
    <w:name w:val="List Paragraph"/>
    <w:basedOn w:val="a"/>
    <w:uiPriority w:val="34"/>
    <w:qFormat/>
    <w:rsid w:val="00405E01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E57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E57EDF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E57E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E57EDF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E57ED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57E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81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9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0756">
                  <w:marLeft w:val="0"/>
                  <w:marRight w:val="0"/>
                  <w:marTop w:val="0"/>
                  <w:marBottom w:val="0"/>
                  <w:divBdr>
                    <w:top w:val="single" w:sz="4" w:space="9" w:color="A5DB7B"/>
                    <w:left w:val="single" w:sz="4" w:space="9" w:color="A5DB7B"/>
                    <w:bottom w:val="single" w:sz="4" w:space="0" w:color="D0F5B0"/>
                    <w:right w:val="single" w:sz="4" w:space="9" w:color="A5DB7B"/>
                  </w:divBdr>
                  <w:divsChild>
                    <w:div w:id="104464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webhtml/project/neikexue/neifenmixue.ht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631</Words>
  <Characters>3598</Characters>
  <Application>Microsoft Office Word</Application>
  <DocSecurity>0</DocSecurity>
  <Lines>29</Lines>
  <Paragraphs>8</Paragraphs>
  <ScaleCrop>false</ScaleCrop>
  <Company/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dell330</dc:creator>
  <cp:keywords/>
  <dc:description/>
  <cp:lastModifiedBy>dell330</cp:lastModifiedBy>
  <cp:revision>1</cp:revision>
  <dcterms:created xsi:type="dcterms:W3CDTF">2013-11-13T08:59:00Z</dcterms:created>
  <dcterms:modified xsi:type="dcterms:W3CDTF">2013-11-13T09:10:00Z</dcterms:modified>
</cp:coreProperties>
</file>