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E72" w:rsidRDefault="00596E72" w:rsidP="00596E72">
      <w:pPr>
        <w:widowControl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596E72">
        <w:rPr>
          <w:rFonts w:ascii="宋体" w:eastAsia="宋体" w:hAnsi="宋体" w:cs="宋体"/>
          <w:kern w:val="0"/>
          <w:sz w:val="24"/>
          <w:szCs w:val="24"/>
        </w:rPr>
        <w:t>2017 版中医执业医师分阶段考试实证研究</w:t>
      </w:r>
      <w:r w:rsidRPr="00596E72">
        <w:rPr>
          <w:rFonts w:ascii="宋体" w:eastAsia="宋体" w:hAnsi="宋体" w:cs="宋体"/>
          <w:kern w:val="0"/>
          <w:sz w:val="24"/>
          <w:szCs w:val="24"/>
        </w:rPr>
        <w:br/>
        <w:t>第一阶段医学综合笔试大纲 中医基础理论</w:t>
      </w:r>
    </w:p>
    <w:p w:rsidR="00596E72" w:rsidRPr="00596E72" w:rsidRDefault="00596E72" w:rsidP="00596E72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85"/>
        <w:gridCol w:w="2374"/>
        <w:gridCol w:w="4677"/>
      </w:tblGrid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一、中医学理 论 体 系 的 主 要特点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1.整体观念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（2）内容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2.辨证论治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（1）病、证、症的概念和关系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（2）辨证论治的概念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（3）同病异治和异病同治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二、精气学说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1.精气学说的基本内容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（1）精气是构成宇宙的本原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（2）精气的运动与变化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（3）精气是天地万物的中介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（4）天地精气化生为人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2.精气学说在中医学中的应 用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（1）构建中医学的精气生命理论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（2）构建中医学的整体观念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三、阴阳学说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1.阴阳的概念及属性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（1）阴阳的概念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（2）事物的阴阳属性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（3）阴阳属性的相对性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2.阴阳学说的基本内容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（1）阴阳的交感互藏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（2）阴阳的对立制约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（3）阴阳的互根互用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（4）阴阳的消长转化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（5）阴阳的自和平衡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3.阴阳学说在中医学中的应 用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（1）说明人体的组织结构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（2）概括人体的生理机能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（3）阐释人体的病理变化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（4）用于疾病的诊断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（5）用于疾病的防治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四、五行学说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1.五行学说的概念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（1）五行的概念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（2）五行的特性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（3）事物和现象的五行归类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2.五行学说的基本内容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（1）五行的相生和相克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（2）五行制化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（3）五行的母子相及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（4）五行的相乘与相侮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3.五行学说在中医学中的应 用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（1）说明五脏之间的生理功能和相互关系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（2）说明五脏疾病的相互影响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（3）指导疾病的诊断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（4）指导疾病的治疗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五、精、气、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1.精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（1）人体之精的概念　</w:t>
            </w:r>
          </w:p>
        </w:tc>
      </w:tr>
    </w:tbl>
    <w:p w:rsidR="00596E72" w:rsidRPr="00596E72" w:rsidRDefault="00596E72" w:rsidP="00596E7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96E72">
        <w:rPr>
          <w:rFonts w:ascii="宋体" w:eastAsia="宋体" w:hAnsi="宋体" w:cs="宋体"/>
          <w:kern w:val="0"/>
          <w:sz w:val="24"/>
          <w:szCs w:val="24"/>
        </w:rPr>
        <w:lastRenderedPageBreak/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80"/>
        <w:gridCol w:w="2405"/>
        <w:gridCol w:w="4651"/>
      </w:tblGrid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血、津液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（2）人体之精的代谢”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（3）人体之精的功能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（4）人体之精的分类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2.气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（1）人体之气的概念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（2）人体之气的生成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（3）人体之气的运动与气化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（4）人体之气的功能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（5）人体之气的分类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3.血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（1）血的概念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（2）血的生成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（3）血的运行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（4）血的功能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4.津液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（1）津液的概念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（2）津液的代谢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（3）津液的功能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5.精、气、血、津液之间的 关系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（1）气与血的关系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（2）气与津液的关系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（3）精、血、津液之间的关系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六、藏象概述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藏象概述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（1）藏象及藏象学说的概念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（2）五脏六腑与奇恒之府的生理特点”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（3）藏象学说的特点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七、五脏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1.心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（1）生理机能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（2）生理特性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（3）与形窍志液时的联系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2.肺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（1）生理机能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（2）生理特性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（3）与形窍志液时的联系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3.脾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（1）生理机能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（2）生理特性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（3）与形窍志液时的联系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4.肝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（1）生理机能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（2）生理特性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（3）与形窍志液时的联系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5.肾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（1）生理机能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（2）生理特性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（3）与形窍志液时的联系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八、六腑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1.胆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（1）生理机能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（2）生理特性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2.胃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（1）生理机能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（2）生理特性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3.小肠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（1）生理机能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（2）生理特性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4.大肠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（1）生理机能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（2）生理特性　</w:t>
            </w:r>
          </w:p>
        </w:tc>
      </w:tr>
    </w:tbl>
    <w:p w:rsidR="00596E72" w:rsidRPr="00596E72" w:rsidRDefault="00596E72" w:rsidP="00596E7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96E72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83"/>
        <w:gridCol w:w="2367"/>
        <w:gridCol w:w="4686"/>
      </w:tblGrid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5.膀胱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（1）生理机能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（2）生理特性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6.三焦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（1）生理机能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（2）生理特性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九、奇恒之腑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1.脑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（1）脑与五脏的关系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2.女子胞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（1）女子胞的功能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（2）女子胞与脏腑经络的关系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十、脏腑之间 的关系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1.五脏之间的关系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（1）心与肺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（2）心与肝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（3）心与脾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（4）心与肾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（5）肺与脾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（6）肺与肝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（7）肺与肾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（8）脾与肝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（9）脾与肾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（10）肝与肾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2.脏与腑的关系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（1）肝与胆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（2）心与小肠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（3）脾与胃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（4）肺与大肠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（5）肾与膀胱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3.六腑之间的关系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（1）六腑以通为用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（2）六腑以降为和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十一、经络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1.经络学说概述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（1）经络的基本概念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（2）经络系统的组成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2.十二经脉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（1）十二经脉的走向规律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（2）十二经脉的交接规律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（3）十二经脉的分布规律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（4）十二经脉的表里关系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（5）十二经脉的流注次序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3.奇经八脉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（1）奇经八脉的含义及特点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（2）奇经八脉的主要功能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（3）督脉、任脉、冲脉、带脉、跷脉和维脉的循行特点和 基本功能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4.经络的生理功能和经络学 说的应用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（1）经络的生理功能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（2）经络学说的应用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十二、体质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1.体质的概念和构成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（1）体质的概念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（2）体质的构成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（3）体质的特点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2.体质的生理学基础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（1）体质与脏腑精气血津液的关系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（2）影响体质的因素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3.体质学说的应用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（1）体质与发病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（2）体质与病因病机　</w:t>
            </w:r>
          </w:p>
        </w:tc>
      </w:tr>
    </w:tbl>
    <w:p w:rsidR="00596E72" w:rsidRPr="00596E72" w:rsidRDefault="00596E72" w:rsidP="00596E7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96E72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80"/>
        <w:gridCol w:w="2405"/>
        <w:gridCol w:w="4651"/>
      </w:tblGrid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（3）体质与诊治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（4）体质与养生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4.体质的分类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（1）常用体质分类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十三、外感病 因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1.六淫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（1）六淫的概念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（2）六淫的共同致病特点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（3）风邪、寒邪、暑邪、湿邪、燥邪、火邪各自的性质和 致病特点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2.疠气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（1）疠气的概念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（2）疠气的致病特点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（3）影响疠气产生的因素”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十四、内伤病 因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1.七情内伤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（1）七情、七情内伤的基本概念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（2）七情与脏腑气血的关系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（3）七情内伤的致病特点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2.饮食失宜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（1）饮食不节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（2）饮食不洁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（3）饮食偏嗜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3.劳逸失度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（1）过劳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（2）过逸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十五、病理产 物 形 成 的 病 因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1.水湿痰饮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（1）痰饮的概念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（2）痰饮的形成原因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（3）痰饮的致病特点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2.瘀血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（1）瘀血的概念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（2）瘀血的形成原因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（3）瘀血致病的病症特点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十六、发病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1.发病的原理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（1）正气不足是疾病发生的内在因素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（2）邪气是发病的重要条件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（3）邪正相搏的胜负与发病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（4）影响发病的主要因素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2.发病类型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（1）感邪即发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（2）徐发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（3）伏而后发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（4）继发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（5）合病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（6）复发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十七、病机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1.邪正盛衰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（1）邪正盛衰与虚实变化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（2）邪正盛衰与疾病转归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2.阴阳失调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（1）阴阳偏盛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（2）阴阳偏衰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（3）阴阳互损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（4）阴阳格拒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（5）阴阳亡失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3.精、气、血失常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（1）精的失常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（2）气的失常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（3）血的失常　</w:t>
            </w:r>
          </w:p>
        </w:tc>
      </w:tr>
    </w:tbl>
    <w:p w:rsidR="00596E72" w:rsidRPr="00596E72" w:rsidRDefault="00596E72" w:rsidP="00596E7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96E72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80"/>
        <w:gridCol w:w="2405"/>
        <w:gridCol w:w="4651"/>
      </w:tblGrid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（4）精、气、血关系失调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4.津液代谢失常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（1）津液不足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（2）津液输布、排泄障碍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（3）津液与气血关系失调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5.内生“五邪”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（1）内生“五邪”的概念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（2）风气内动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（3）寒从中生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（4）湿浊内生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（5）津伤化燥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（6）火热内生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6.疾病传变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（1）疾病传变的形式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（2）病性转化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14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十八、防治原 则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1.预防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（1）预防与治未病的概念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（2）未病先防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（3）既病防变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2.治则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（1）治病求本的概念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（2）正治与反治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（3）治标与治本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（4）扶正与祛邪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（5）调整阴阳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（6）调理精气血津液　</w:t>
            </w:r>
          </w:p>
        </w:tc>
      </w:tr>
      <w:tr w:rsidR="00596E72" w:rsidRPr="00596E72" w:rsidTr="00596E7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96E72" w:rsidRPr="00596E72" w:rsidRDefault="00596E72" w:rsidP="00596E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6E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（7）三因制宜　</w:t>
            </w:r>
          </w:p>
        </w:tc>
      </w:tr>
    </w:tbl>
    <w:p w:rsidR="007D37AC" w:rsidRDefault="00596E72">
      <w:r w:rsidRPr="00596E72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sectPr w:rsidR="007D37AC" w:rsidSect="007D37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5F18" w:rsidRDefault="00785F18" w:rsidP="00596E72">
      <w:r>
        <w:separator/>
      </w:r>
    </w:p>
  </w:endnote>
  <w:endnote w:type="continuationSeparator" w:id="0">
    <w:p w:rsidR="00785F18" w:rsidRDefault="00785F18" w:rsidP="00596E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3DD" w:rsidRDefault="009A53D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3DD" w:rsidRDefault="009A53D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3DD" w:rsidRDefault="009A53D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5F18" w:rsidRDefault="00785F18" w:rsidP="00596E72">
      <w:r>
        <w:separator/>
      </w:r>
    </w:p>
  </w:footnote>
  <w:footnote w:type="continuationSeparator" w:id="0">
    <w:p w:rsidR="00785F18" w:rsidRDefault="00785F18" w:rsidP="00596E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3DD" w:rsidRDefault="009A53D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63469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3DD" w:rsidRDefault="009A53D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63470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3DD" w:rsidRDefault="009A53D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63468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E72"/>
    <w:rsid w:val="00012C79"/>
    <w:rsid w:val="000A1865"/>
    <w:rsid w:val="000D5D94"/>
    <w:rsid w:val="001074C9"/>
    <w:rsid w:val="00204DB3"/>
    <w:rsid w:val="004365C3"/>
    <w:rsid w:val="00472723"/>
    <w:rsid w:val="005307EA"/>
    <w:rsid w:val="00596E72"/>
    <w:rsid w:val="006976D0"/>
    <w:rsid w:val="00785F18"/>
    <w:rsid w:val="007D37AC"/>
    <w:rsid w:val="00821BDB"/>
    <w:rsid w:val="00861CDC"/>
    <w:rsid w:val="009A53DD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6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6E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6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6E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7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7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5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523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2016-12-28T01:59:00Z</dcterms:created>
  <dcterms:modified xsi:type="dcterms:W3CDTF">2016-12-28T02:00:00Z</dcterms:modified>
</cp:coreProperties>
</file>