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1"/>
        <w:tblW w:w="9666" w:type="dxa"/>
        <w:jc w:val="center"/>
        <w:tblBorders>
          <w:top w:val="none" w:color="auto" w:sz="0" w:space="0"/>
          <w:left w:val="none" w:color="auto" w:sz="0" w:space="0"/>
          <w:bottom w:val="thickThinLargeGap" w:color="FF0000" w:sz="24" w:space="0"/>
          <w:right w:val="none" w:color="auto" w:sz="0" w:space="0"/>
          <w:insideH w:val="thinThickLargeGap" w:color="FF0000" w:sz="24" w:space="0"/>
          <w:insideV w:val="thinThickLargeGap" w:color="FF0000" w:sz="18" w:space="0"/>
        </w:tblBorders>
        <w:tblLayout w:type="fixed"/>
        <w:tblCellMar>
          <w:left w:w="108" w:type="dxa"/>
          <w:right w:w="108" w:type="dxa"/>
        </w:tblCellMar>
      </w:tblPr>
      <w:tblGrid>
        <w:gridCol w:w="9666"/>
      </w:tblGrid>
      <w:tr>
        <w:tblPrEx>
          <w:tblBorders>
            <w:top w:val="none" w:color="auto" w:sz="0" w:space="0"/>
            <w:left w:val="none" w:color="auto" w:sz="0" w:space="0"/>
            <w:bottom w:val="thickThinLargeGap" w:color="FF0000" w:sz="24" w:space="0"/>
            <w:right w:val="none" w:color="auto" w:sz="0" w:space="0"/>
            <w:insideH w:val="thinThickLargeGap" w:color="FF0000" w:sz="24" w:space="0"/>
            <w:insideV w:val="thinThickLargeGap" w:color="FF0000" w:sz="18" w:space="0"/>
          </w:tblBorders>
          <w:tblLayout w:type="fixed"/>
          <w:tblCellMar>
            <w:left w:w="108" w:type="dxa"/>
            <w:right w:w="108" w:type="dxa"/>
          </w:tblCellMar>
        </w:tblPrEx>
        <w:trPr>
          <w:trHeight w:val="1021" w:hRule="exact"/>
          <w:jc w:val="center"/>
        </w:trPr>
        <w:tc>
          <w:tcPr>
            <w:tcW w:w="9666" w:type="dxa"/>
            <w:tcBorders>
              <w:top w:val="nil"/>
              <w:bottom w:val="thinThickMediumGap" w:color="FF0000" w:sz="24" w:space="0"/>
            </w:tcBorders>
            <w:vAlign w:val="top"/>
          </w:tcPr>
          <w:p>
            <w:pPr>
              <w:adjustRightInd w:val="0"/>
              <w:snapToGrid w:val="0"/>
              <w:spacing w:line="940" w:lineRule="exact"/>
              <w:jc w:val="left"/>
              <w:rPr>
                <w:rFonts w:ascii="方正小标宋_GBK" w:hAnsi="文星标宋" w:eastAsia="方正小标宋_GBK"/>
                <w:color w:val="FF0000"/>
                <w:w w:val="88"/>
                <w:position w:val="6"/>
                <w:sz w:val="76"/>
                <w:szCs w:val="76"/>
              </w:rPr>
            </w:pPr>
            <w:r>
              <w:rPr>
                <w:rFonts w:hint="eastAsia" w:ascii="方正小标宋_GBK" w:hAnsi="文星标宋" w:eastAsia="方正小标宋_GBK"/>
                <w:color w:val="FF0000"/>
                <w:spacing w:val="4"/>
                <w:w w:val="95"/>
                <w:kern w:val="0"/>
                <w:position w:val="6"/>
                <w:sz w:val="76"/>
                <w:szCs w:val="76"/>
                <w:fitText w:val="9448" w:id="0"/>
              </w:rPr>
              <w:t>青岛市卫生和计划生育委员</w:t>
            </w:r>
            <w:r>
              <w:rPr>
                <w:rFonts w:hint="eastAsia" w:ascii="方正小标宋_GBK" w:hAnsi="文星标宋" w:eastAsia="方正小标宋_GBK"/>
                <w:color w:val="FF0000"/>
                <w:spacing w:val="6"/>
                <w:w w:val="95"/>
                <w:kern w:val="0"/>
                <w:position w:val="6"/>
                <w:sz w:val="76"/>
                <w:szCs w:val="76"/>
                <w:fitText w:val="9448" w:id="0"/>
              </w:rPr>
              <w:t>会</w:t>
            </w:r>
          </w:p>
        </w:tc>
      </w:tr>
    </w:tbl>
    <w:p>
      <w:pPr>
        <w:rPr>
          <w:rFonts w:ascii="仿宋_GB2312" w:eastAsia="仿宋_GB2312"/>
          <w:vanish/>
          <w:sz w:val="32"/>
          <w:szCs w:val="32"/>
        </w:rPr>
      </w:pPr>
      <w:r>
        <w:rPr>
          <w:rFonts w:ascii="方正小标宋_GBK" w:eastAsia="仿宋_GB2312"/>
          <w:w w:val="55"/>
          <w:kern w:val="0"/>
          <w:sz w:val="32"/>
          <w:szCs w:val="32"/>
          <w:fitText w:val="267" w:id="1"/>
        </w:rPr>
        <w:t xml:space="preserve">  </w:t>
      </w:r>
      <w:r>
        <w:rPr>
          <w:rFonts w:ascii="方正小标宋_GBK" w:eastAsia="仿宋_GB2312"/>
          <w:spacing w:val="3"/>
          <w:w w:val="55"/>
          <w:kern w:val="0"/>
          <w:sz w:val="32"/>
          <w:szCs w:val="32"/>
          <w:fitText w:val="267" w:id="1"/>
        </w:rPr>
        <w:t xml:space="preserve"> </w:t>
      </w:r>
      <w:r>
        <w:rPr>
          <w:rFonts w:ascii="方正小标宋_GBK" w:eastAsia="仿宋_GB2312"/>
          <w:sz w:val="32"/>
          <w:szCs w:val="32"/>
        </w:rPr>
        <w:t xml:space="preserve">                               </w:t>
      </w:r>
      <w:r>
        <w:rPr>
          <w:rFonts w:hint="eastAsia" w:ascii="方正小标宋_GBK" w:eastAsia="仿宋_GB2312"/>
          <w:sz w:val="32"/>
          <w:szCs w:val="32"/>
        </w:rPr>
        <w:t>青卫人函字〔</w:t>
      </w:r>
      <w:r>
        <w:rPr>
          <w:rFonts w:ascii="方正小标宋_GBK" w:eastAsia="仿宋_GB2312"/>
          <w:sz w:val="32"/>
          <w:szCs w:val="32"/>
        </w:rPr>
        <w:t>2017</w:t>
      </w:r>
      <w:r>
        <w:rPr>
          <w:rFonts w:hint="eastAsia" w:ascii="方正小标宋_GBK" w:eastAsia="仿宋_GB2312"/>
          <w:sz w:val="32"/>
          <w:szCs w:val="32"/>
        </w:rPr>
        <w:t>〕</w:t>
      </w:r>
      <w:r>
        <w:rPr>
          <w:rFonts w:hint="eastAsia" w:ascii="方正小标宋_GBK" w:eastAsia="仿宋_GB2312"/>
          <w:sz w:val="32"/>
          <w:szCs w:val="32"/>
          <w:lang w:val="en-US" w:eastAsia="zh-CN"/>
        </w:rPr>
        <w:t>20</w:t>
      </w:r>
      <w:bookmarkStart w:id="0" w:name="_GoBack"/>
      <w:bookmarkEnd w:id="0"/>
      <w:r>
        <w:rPr>
          <w:rFonts w:hint="eastAsia" w:ascii="方正小标宋_GBK" w:eastAsia="仿宋_GB2312"/>
          <w:sz w:val="32"/>
          <w:szCs w:val="32"/>
        </w:rPr>
        <w:t>号</w:t>
      </w:r>
    </w:p>
    <w:p>
      <w:pPr>
        <w:jc w:val="center"/>
        <w:rPr>
          <w:rFonts w:ascii="宋体" w:cs="宋体"/>
          <w:sz w:val="44"/>
          <w:szCs w:val="44"/>
        </w:rPr>
      </w:pPr>
    </w:p>
    <w:p>
      <w:pPr>
        <w:rPr>
          <w:rFonts w:ascii="仿宋_GB2312" w:eastAsia="仿宋_GB2312"/>
          <w:sz w:val="32"/>
          <w:szCs w:val="32"/>
        </w:rPr>
      </w:pPr>
    </w:p>
    <w:p>
      <w:pPr>
        <w:rPr>
          <w:rFonts w:ascii="仿宋_GB2312" w:eastAsia="仿宋_GB2312"/>
          <w:vanish/>
          <w:sz w:val="32"/>
          <w:szCs w:val="32"/>
        </w:rPr>
      </w:pPr>
    </w:p>
    <w:p>
      <w:pPr>
        <w:spacing w:line="600" w:lineRule="exact"/>
        <w:jc w:val="center"/>
        <w:rPr>
          <w:rFonts w:ascii="宋体"/>
          <w:bCs/>
          <w:spacing w:val="-10"/>
          <w:sz w:val="44"/>
          <w:szCs w:val="44"/>
        </w:rPr>
      </w:pPr>
      <w:r>
        <w:rPr>
          <w:rFonts w:hint="eastAsia" w:ascii="宋体" w:hAnsi="宋体"/>
          <w:sz w:val="44"/>
          <w:szCs w:val="44"/>
        </w:rPr>
        <w:t>关于开展</w:t>
      </w:r>
      <w:r>
        <w:rPr>
          <w:rFonts w:ascii="宋体" w:hAnsi="宋体"/>
          <w:sz w:val="44"/>
          <w:szCs w:val="44"/>
        </w:rPr>
        <w:t>2017</w:t>
      </w:r>
      <w:r>
        <w:rPr>
          <w:rFonts w:hint="eastAsia" w:ascii="宋体" w:hAnsi="宋体"/>
          <w:sz w:val="44"/>
          <w:szCs w:val="44"/>
        </w:rPr>
        <w:t>年度</w:t>
      </w:r>
      <w:r>
        <w:rPr>
          <w:rFonts w:hint="eastAsia" w:ascii="宋体" w:hAnsi="宋体"/>
          <w:bCs/>
          <w:spacing w:val="-10"/>
          <w:sz w:val="44"/>
          <w:szCs w:val="44"/>
        </w:rPr>
        <w:t>晋升卫生专业技术职务</w:t>
      </w:r>
    </w:p>
    <w:p>
      <w:pPr>
        <w:spacing w:line="600" w:lineRule="exact"/>
        <w:jc w:val="center"/>
        <w:rPr>
          <w:rFonts w:ascii="宋体"/>
          <w:bCs/>
          <w:spacing w:val="-10"/>
          <w:sz w:val="44"/>
          <w:szCs w:val="44"/>
        </w:rPr>
      </w:pPr>
      <w:r>
        <w:rPr>
          <w:rFonts w:hint="eastAsia" w:ascii="宋体" w:hAnsi="宋体"/>
          <w:bCs/>
          <w:spacing w:val="-10"/>
          <w:sz w:val="44"/>
          <w:szCs w:val="44"/>
        </w:rPr>
        <w:t>资格学分审验工作的通知</w:t>
      </w:r>
    </w:p>
    <w:p>
      <w:pPr>
        <w:spacing w:line="600" w:lineRule="exact"/>
        <w:jc w:val="center"/>
        <w:rPr>
          <w:rFonts w:ascii="方正小标宋_GBK" w:hAnsi="宋体" w:eastAsia="方正小标宋_GBK"/>
          <w:b/>
          <w:bCs/>
          <w:spacing w:val="-10"/>
          <w:sz w:val="44"/>
          <w:szCs w:val="44"/>
        </w:rPr>
      </w:pPr>
    </w:p>
    <w:p>
      <w:pPr>
        <w:adjustRightInd w:val="0"/>
        <w:snapToGrid w:val="0"/>
        <w:spacing w:line="560" w:lineRule="exact"/>
        <w:rPr>
          <w:rFonts w:ascii="仿宋_GB2312" w:hAnsi="仿宋" w:eastAsia="仿宋_GB2312"/>
          <w:sz w:val="32"/>
          <w:szCs w:val="32"/>
        </w:rPr>
      </w:pPr>
      <w:r>
        <w:rPr>
          <w:rFonts w:hint="eastAsia" w:ascii="仿宋" w:hAnsi="仿宋" w:eastAsia="仿宋"/>
          <w:color w:val="000000"/>
          <w:sz w:val="32"/>
        </w:rPr>
        <w:t>各区市</w:t>
      </w:r>
      <w:r>
        <w:rPr>
          <w:rFonts w:hint="eastAsia" w:ascii="仿宋_GB2312" w:hAnsi="仿宋" w:eastAsia="仿宋_GB2312"/>
          <w:color w:val="000000"/>
          <w:sz w:val="32"/>
        </w:rPr>
        <w:t>卫生计生局，委属各单位、驻青各医疗机构、</w:t>
      </w:r>
      <w:r>
        <w:rPr>
          <w:rFonts w:hint="eastAsia" w:ascii="仿宋_GB2312" w:hAnsi="仿宋" w:eastAsia="仿宋_GB2312"/>
          <w:sz w:val="32"/>
          <w:szCs w:val="32"/>
        </w:rPr>
        <w:t>各民营医疗机构：</w:t>
      </w:r>
    </w:p>
    <w:p>
      <w:pPr>
        <w:spacing w:line="600" w:lineRule="exact"/>
        <w:ind w:firstLine="31680" w:firstLineChars="200"/>
        <w:rPr>
          <w:rFonts w:ascii="仿宋" w:hAnsi="仿宋" w:eastAsia="仿宋"/>
          <w:sz w:val="32"/>
          <w:szCs w:val="32"/>
        </w:rPr>
      </w:pPr>
      <w:r>
        <w:rPr>
          <w:rFonts w:hint="eastAsia" w:ascii="仿宋_GB2312" w:hAnsi="仿宋" w:eastAsia="仿宋_GB2312"/>
          <w:sz w:val="32"/>
          <w:szCs w:val="32"/>
        </w:rPr>
        <w:t>根据</w:t>
      </w:r>
      <w:r>
        <w:rPr>
          <w:rFonts w:hint="eastAsia" w:ascii="仿宋_GB2312" w:hAnsi="仿宋" w:eastAsia="仿宋_GB2312"/>
          <w:bCs/>
          <w:spacing w:val="-10"/>
          <w:sz w:val="32"/>
          <w:szCs w:val="32"/>
        </w:rPr>
        <w:t>《关于做好</w:t>
      </w:r>
      <w:r>
        <w:rPr>
          <w:rFonts w:ascii="仿宋_GB2312" w:hAnsi="仿宋" w:eastAsia="仿宋_GB2312"/>
          <w:bCs/>
          <w:spacing w:val="-10"/>
          <w:sz w:val="32"/>
          <w:szCs w:val="32"/>
        </w:rPr>
        <w:t>2017</w:t>
      </w:r>
      <w:r>
        <w:rPr>
          <w:rFonts w:hint="eastAsia" w:ascii="仿宋_GB2312" w:hAnsi="仿宋" w:eastAsia="仿宋_GB2312"/>
          <w:bCs/>
          <w:spacing w:val="-10"/>
          <w:sz w:val="32"/>
          <w:szCs w:val="32"/>
        </w:rPr>
        <w:t>年度青岛市职称评审工作的通知》（青人社办字</w:t>
      </w:r>
      <w:r>
        <w:rPr>
          <w:rFonts w:hint="eastAsia" w:ascii="仿宋_GB2312" w:eastAsia="仿宋_GB2312"/>
          <w:sz w:val="32"/>
          <w:szCs w:val="32"/>
        </w:rPr>
        <w:t>〔</w:t>
      </w:r>
      <w:r>
        <w:rPr>
          <w:rFonts w:ascii="仿宋_GB2312" w:eastAsia="仿宋_GB2312"/>
          <w:sz w:val="32"/>
          <w:szCs w:val="32"/>
        </w:rPr>
        <w:t>2017</w:t>
      </w:r>
      <w:r>
        <w:rPr>
          <w:rFonts w:hint="eastAsia" w:ascii="仿宋_GB2312" w:eastAsia="仿宋_GB2312"/>
          <w:sz w:val="32"/>
          <w:szCs w:val="32"/>
        </w:rPr>
        <w:t>〕</w:t>
      </w:r>
      <w:r>
        <w:rPr>
          <w:rFonts w:ascii="仿宋_GB2312" w:eastAsia="仿宋_GB2312"/>
          <w:sz w:val="32"/>
          <w:szCs w:val="32"/>
        </w:rPr>
        <w:t>135</w:t>
      </w:r>
      <w:r>
        <w:rPr>
          <w:rFonts w:hint="eastAsia" w:ascii="仿宋_GB2312" w:eastAsia="仿宋_GB2312"/>
          <w:sz w:val="32"/>
          <w:szCs w:val="32"/>
        </w:rPr>
        <w:t>号</w:t>
      </w:r>
      <w:r>
        <w:rPr>
          <w:rFonts w:hint="eastAsia" w:ascii="仿宋_GB2312" w:hAnsi="仿宋" w:eastAsia="仿宋_GB2312"/>
          <w:bCs/>
          <w:spacing w:val="-10"/>
          <w:sz w:val="32"/>
          <w:szCs w:val="32"/>
        </w:rPr>
        <w:t>）和《关于在青岛市卫生系统专业职务晋升中强化继续教育工作有关问题的意见》（</w:t>
      </w:r>
      <w:r>
        <w:rPr>
          <w:rFonts w:hint="eastAsia" w:ascii="仿宋_GB2312" w:eastAsia="仿宋_GB2312"/>
          <w:sz w:val="32"/>
          <w:szCs w:val="32"/>
        </w:rPr>
        <w:t>〔</w:t>
      </w:r>
      <w:r>
        <w:rPr>
          <w:rFonts w:ascii="仿宋_GB2312" w:eastAsia="仿宋_GB2312"/>
          <w:sz w:val="32"/>
          <w:szCs w:val="32"/>
        </w:rPr>
        <w:t>2013</w:t>
      </w:r>
      <w:r>
        <w:rPr>
          <w:rFonts w:hint="eastAsia" w:ascii="仿宋_GB2312" w:eastAsia="仿宋_GB2312"/>
          <w:sz w:val="32"/>
          <w:szCs w:val="32"/>
        </w:rPr>
        <w:t>〕</w:t>
      </w:r>
      <w:r>
        <w:rPr>
          <w:rFonts w:ascii="仿宋_GB2312" w:eastAsia="仿宋_GB2312"/>
          <w:sz w:val="32"/>
          <w:szCs w:val="32"/>
        </w:rPr>
        <w:t>125</w:t>
      </w:r>
      <w:r>
        <w:rPr>
          <w:rFonts w:hint="eastAsia" w:ascii="仿宋_GB2312" w:eastAsia="仿宋_GB2312"/>
          <w:sz w:val="32"/>
          <w:szCs w:val="32"/>
        </w:rPr>
        <w:t>号</w:t>
      </w:r>
      <w:r>
        <w:rPr>
          <w:rFonts w:hint="eastAsia" w:ascii="仿宋_GB2312" w:hAnsi="仿宋" w:eastAsia="仿宋_GB2312"/>
          <w:bCs/>
          <w:spacing w:val="-10"/>
          <w:sz w:val="32"/>
          <w:szCs w:val="32"/>
        </w:rPr>
        <w:t>）</w:t>
      </w:r>
      <w:r>
        <w:rPr>
          <w:rFonts w:hint="eastAsia" w:ascii="仿宋_GB2312" w:hAnsi="仿宋" w:eastAsia="仿宋_GB2312"/>
          <w:sz w:val="32"/>
          <w:szCs w:val="32"/>
        </w:rPr>
        <w:t>文件精神，为做好</w:t>
      </w:r>
      <w:r>
        <w:rPr>
          <w:rFonts w:ascii="仿宋_GB2312" w:hAnsi="仿宋" w:eastAsia="仿宋_GB2312"/>
          <w:sz w:val="32"/>
          <w:szCs w:val="32"/>
        </w:rPr>
        <w:t>2017</w:t>
      </w:r>
      <w:r>
        <w:rPr>
          <w:rFonts w:hint="eastAsia" w:ascii="仿宋_GB2312" w:hAnsi="仿宋" w:eastAsia="仿宋_GB2312"/>
          <w:sz w:val="32"/>
          <w:szCs w:val="32"/>
        </w:rPr>
        <w:t>年度卫生系列职称晋升学分审验工作，现将卫生（含计生）专业技术人员学分审验事项通知如下</w:t>
      </w:r>
      <w:r>
        <w:rPr>
          <w:rFonts w:hint="eastAsia" w:ascii="仿宋" w:hAnsi="仿宋" w:eastAsia="仿宋"/>
          <w:sz w:val="32"/>
          <w:szCs w:val="32"/>
        </w:rPr>
        <w:t>：</w:t>
      </w:r>
    </w:p>
    <w:p>
      <w:pPr>
        <w:spacing w:line="560" w:lineRule="exact"/>
        <w:ind w:firstLine="31680" w:firstLineChars="200"/>
        <w:rPr>
          <w:rFonts w:ascii="黑体" w:hAnsi="黑体" w:eastAsia="黑体" w:cs="黑体"/>
          <w:sz w:val="32"/>
          <w:szCs w:val="32"/>
        </w:rPr>
      </w:pPr>
      <w:r>
        <w:rPr>
          <w:rFonts w:hint="eastAsia" w:ascii="黑体" w:hAnsi="黑体" w:eastAsia="黑体" w:cs="黑体"/>
          <w:sz w:val="32"/>
          <w:szCs w:val="32"/>
        </w:rPr>
        <w:t>一、申报晋升高级职称学分审验安排</w:t>
      </w:r>
    </w:p>
    <w:p>
      <w:pPr>
        <w:spacing w:line="560" w:lineRule="exact"/>
        <w:ind w:firstLine="31680" w:firstLineChars="200"/>
        <w:rPr>
          <w:rFonts w:ascii="仿宋" w:hAnsi="仿宋" w:eastAsia="仿宋"/>
          <w:sz w:val="32"/>
          <w:szCs w:val="32"/>
        </w:rPr>
      </w:pPr>
      <w:r>
        <w:rPr>
          <w:rFonts w:hint="eastAsia" w:ascii="仿宋" w:hAnsi="仿宋" w:eastAsia="仿宋"/>
          <w:sz w:val="32"/>
          <w:szCs w:val="32"/>
        </w:rPr>
        <w:t>青岛市人力资源社会保障局专业技术人员管理处（简称市人社局专技处）负责申报卫生系列高级职称专业技术人员学分审验工作。</w:t>
      </w:r>
      <w:r>
        <w:rPr>
          <w:rFonts w:ascii="仿宋" w:hAnsi="仿宋" w:eastAsia="仿宋"/>
          <w:sz w:val="32"/>
          <w:szCs w:val="32"/>
        </w:rPr>
        <w:t>2017</w:t>
      </w:r>
      <w:r>
        <w:rPr>
          <w:rFonts w:hint="eastAsia" w:ascii="仿宋" w:hAnsi="仿宋" w:eastAsia="仿宋"/>
          <w:sz w:val="32"/>
          <w:szCs w:val="32"/>
        </w:rPr>
        <w:t>年度申报晋升高级职称卫生（含计生）专业技术人员的学分材料审验期限为</w:t>
      </w:r>
      <w:r>
        <w:rPr>
          <w:rFonts w:ascii="仿宋" w:hAnsi="仿宋" w:eastAsia="仿宋"/>
          <w:sz w:val="32"/>
          <w:szCs w:val="32"/>
        </w:rPr>
        <w:t>2013</w:t>
      </w:r>
      <w:r>
        <w:rPr>
          <w:rFonts w:hint="eastAsia" w:ascii="仿宋" w:hAnsi="仿宋" w:eastAsia="仿宋"/>
          <w:sz w:val="32"/>
          <w:szCs w:val="32"/>
        </w:rPr>
        <w:t>年至</w:t>
      </w:r>
      <w:r>
        <w:rPr>
          <w:rFonts w:ascii="仿宋" w:hAnsi="仿宋" w:eastAsia="仿宋"/>
          <w:sz w:val="32"/>
          <w:szCs w:val="32"/>
        </w:rPr>
        <w:t>2017</w:t>
      </w:r>
      <w:r>
        <w:rPr>
          <w:rFonts w:hint="eastAsia" w:ascii="仿宋" w:hAnsi="仿宋" w:eastAsia="仿宋"/>
          <w:sz w:val="32"/>
          <w:szCs w:val="32"/>
        </w:rPr>
        <w:t>年，</w:t>
      </w:r>
      <w:r>
        <w:rPr>
          <w:rFonts w:ascii="仿宋" w:hAnsi="仿宋" w:eastAsia="仿宋"/>
          <w:sz w:val="32"/>
          <w:szCs w:val="32"/>
        </w:rPr>
        <w:t>2013</w:t>
      </w:r>
      <w:r>
        <w:rPr>
          <w:rFonts w:hint="eastAsia" w:ascii="仿宋" w:hAnsi="仿宋" w:eastAsia="仿宋"/>
          <w:sz w:val="32"/>
          <w:szCs w:val="32"/>
        </w:rPr>
        <w:t>年至</w:t>
      </w:r>
      <w:r>
        <w:rPr>
          <w:rFonts w:ascii="仿宋" w:hAnsi="仿宋" w:eastAsia="仿宋"/>
          <w:sz w:val="32"/>
          <w:szCs w:val="32"/>
        </w:rPr>
        <w:t>2017</w:t>
      </w:r>
      <w:r>
        <w:rPr>
          <w:rFonts w:hint="eastAsia" w:ascii="仿宋" w:hAnsi="仿宋" w:eastAsia="仿宋"/>
          <w:sz w:val="32"/>
          <w:szCs w:val="32"/>
        </w:rPr>
        <w:t>年继续教育学分不符合要求的</w:t>
      </w:r>
      <w:r>
        <w:rPr>
          <w:rFonts w:ascii="仿宋" w:hAnsi="仿宋" w:eastAsia="仿宋"/>
          <w:sz w:val="32"/>
          <w:szCs w:val="32"/>
        </w:rPr>
        <w:t>,</w:t>
      </w:r>
      <w:r>
        <w:rPr>
          <w:rFonts w:hint="eastAsia" w:ascii="仿宋" w:hAnsi="仿宋" w:eastAsia="仿宋"/>
          <w:sz w:val="32"/>
          <w:szCs w:val="32"/>
        </w:rPr>
        <w:t>不得申报</w:t>
      </w:r>
      <w:r>
        <w:rPr>
          <w:rFonts w:ascii="仿宋" w:hAnsi="仿宋" w:eastAsia="仿宋"/>
          <w:sz w:val="32"/>
          <w:szCs w:val="32"/>
        </w:rPr>
        <w:t>2017</w:t>
      </w:r>
      <w:r>
        <w:rPr>
          <w:rFonts w:hint="eastAsia" w:ascii="仿宋" w:hAnsi="仿宋" w:eastAsia="仿宋"/>
          <w:sz w:val="32"/>
          <w:szCs w:val="32"/>
        </w:rPr>
        <w:t>年度卫生系列副高级、正高级专业技术职务资格评审。</w:t>
      </w:r>
    </w:p>
    <w:p>
      <w:pPr>
        <w:ind w:firstLine="31680" w:firstLineChars="200"/>
        <w:rPr>
          <w:rFonts w:ascii="仿宋" w:hAnsi="仿宋" w:eastAsia="仿宋"/>
          <w:sz w:val="32"/>
        </w:rPr>
      </w:pPr>
      <w:r>
        <w:rPr>
          <w:rFonts w:hint="eastAsia" w:ascii="仿宋" w:hAnsi="仿宋" w:eastAsia="仿宋"/>
          <w:sz w:val="32"/>
          <w:szCs w:val="32"/>
        </w:rPr>
        <w:t>青岛市卫生和计划生育委员会组织人事处负责委属各单位申报晋升卫生系列高级职称专业技术人员学分的初审工作。</w:t>
      </w:r>
    </w:p>
    <w:p>
      <w:pPr>
        <w:spacing w:line="560" w:lineRule="exact"/>
        <w:ind w:firstLine="31680" w:firstLineChars="200"/>
        <w:rPr>
          <w:rFonts w:ascii="仿宋" w:hAnsi="仿宋" w:eastAsia="仿宋"/>
          <w:sz w:val="32"/>
          <w:szCs w:val="32"/>
        </w:rPr>
      </w:pPr>
      <w:r>
        <w:rPr>
          <w:rFonts w:hint="eastAsia" w:ascii="仿宋" w:hAnsi="仿宋" w:eastAsia="仿宋"/>
          <w:sz w:val="32"/>
          <w:szCs w:val="32"/>
        </w:rPr>
        <w:t>各区市人社部门负责辖区所属单位专业技术人员申报晋升卫生系列高级职称的初审工作，具体报送时间和要求按照各区市人社部门通知执行。</w:t>
      </w:r>
    </w:p>
    <w:p>
      <w:pPr>
        <w:spacing w:line="560" w:lineRule="exact"/>
        <w:ind w:firstLine="31680" w:firstLineChars="200"/>
        <w:rPr>
          <w:rFonts w:ascii="黑体" w:hAnsi="黑体" w:eastAsia="黑体" w:cs="黑体"/>
          <w:sz w:val="32"/>
          <w:szCs w:val="32"/>
        </w:rPr>
      </w:pPr>
      <w:r>
        <w:rPr>
          <w:rFonts w:hint="eastAsia" w:ascii="黑体" w:hAnsi="黑体" w:eastAsia="黑体" w:cs="黑体"/>
          <w:sz w:val="32"/>
          <w:szCs w:val="32"/>
        </w:rPr>
        <w:t>二、申报晋升初、中级职称学分审验安排</w:t>
      </w:r>
    </w:p>
    <w:p>
      <w:pPr>
        <w:ind w:firstLine="31680" w:firstLineChars="200"/>
        <w:rPr>
          <w:rFonts w:ascii="仿宋" w:hAnsi="仿宋" w:eastAsia="仿宋"/>
          <w:sz w:val="32"/>
          <w:szCs w:val="32"/>
        </w:rPr>
      </w:pPr>
      <w:r>
        <w:rPr>
          <w:rFonts w:hint="eastAsia" w:ascii="仿宋" w:hAnsi="仿宋" w:eastAsia="仿宋"/>
          <w:color w:val="000000"/>
          <w:sz w:val="32"/>
        </w:rPr>
        <w:t>各区市卫生计生局</w:t>
      </w:r>
      <w:r>
        <w:rPr>
          <w:rFonts w:hint="eastAsia" w:ascii="仿宋" w:hAnsi="仿宋" w:eastAsia="仿宋"/>
          <w:sz w:val="32"/>
          <w:szCs w:val="32"/>
        </w:rPr>
        <w:t>，</w:t>
      </w:r>
      <w:r>
        <w:rPr>
          <w:rFonts w:hint="eastAsia" w:ascii="仿宋" w:hAnsi="仿宋" w:eastAsia="仿宋"/>
          <w:color w:val="000000"/>
          <w:sz w:val="32"/>
        </w:rPr>
        <w:t>委属各单位</w:t>
      </w:r>
      <w:r>
        <w:rPr>
          <w:rFonts w:hint="eastAsia" w:ascii="仿宋" w:hAnsi="仿宋" w:eastAsia="仿宋"/>
          <w:sz w:val="32"/>
          <w:szCs w:val="32"/>
        </w:rPr>
        <w:t>，各医疗机构负责本单位</w:t>
      </w:r>
      <w:r>
        <w:rPr>
          <w:rFonts w:ascii="仿宋" w:hAnsi="仿宋" w:eastAsia="仿宋"/>
          <w:sz w:val="32"/>
          <w:szCs w:val="32"/>
        </w:rPr>
        <w:t>2017</w:t>
      </w:r>
      <w:r>
        <w:rPr>
          <w:rFonts w:hint="eastAsia" w:ascii="仿宋" w:hAnsi="仿宋" w:eastAsia="仿宋"/>
          <w:sz w:val="32"/>
          <w:szCs w:val="32"/>
        </w:rPr>
        <w:t>年起（含当年）拟申报晋升初、中级职称卫生（含计生）全体专业技术人员学分的初审工作，</w:t>
      </w:r>
      <w:r>
        <w:rPr>
          <w:rFonts w:ascii="仿宋" w:hAnsi="仿宋" w:eastAsia="仿宋"/>
          <w:sz w:val="32"/>
          <w:szCs w:val="32"/>
        </w:rPr>
        <w:t xml:space="preserve"> 2013</w:t>
      </w:r>
      <w:r>
        <w:rPr>
          <w:rFonts w:hint="eastAsia" w:ascii="仿宋" w:hAnsi="仿宋" w:eastAsia="仿宋"/>
          <w:sz w:val="32"/>
          <w:szCs w:val="32"/>
        </w:rPr>
        <w:t>年至</w:t>
      </w:r>
      <w:r>
        <w:rPr>
          <w:rFonts w:ascii="仿宋" w:hAnsi="仿宋" w:eastAsia="仿宋"/>
          <w:sz w:val="32"/>
          <w:szCs w:val="32"/>
        </w:rPr>
        <w:t>2016</w:t>
      </w:r>
      <w:r>
        <w:rPr>
          <w:rFonts w:hint="eastAsia" w:ascii="仿宋" w:hAnsi="仿宋" w:eastAsia="仿宋"/>
          <w:sz w:val="32"/>
          <w:szCs w:val="32"/>
        </w:rPr>
        <w:t>年已通过审验人员只需提供往年《完成继续教育学分证明书》及</w:t>
      </w:r>
      <w:r>
        <w:rPr>
          <w:rFonts w:ascii="仿宋" w:hAnsi="仿宋" w:eastAsia="仿宋"/>
          <w:sz w:val="32"/>
          <w:szCs w:val="32"/>
        </w:rPr>
        <w:t>2017</w:t>
      </w:r>
      <w:r>
        <w:rPr>
          <w:rFonts w:hint="eastAsia" w:ascii="仿宋" w:hAnsi="仿宋" w:eastAsia="仿宋"/>
          <w:sz w:val="32"/>
          <w:szCs w:val="32"/>
        </w:rPr>
        <w:t>年学分材料；未审验人员根据学分审验有关文件要求，结合个人实际情况提供相应年限学分材料。对继续教育学分不符合要求的人员，不得报名卫生系列初、中级专业技术职务资格考试。</w:t>
      </w:r>
    </w:p>
    <w:p>
      <w:pPr>
        <w:spacing w:line="560" w:lineRule="exact"/>
        <w:ind w:firstLine="31680" w:firstLineChars="200"/>
        <w:rPr>
          <w:rFonts w:ascii="黑体" w:hAnsi="黑体" w:eastAsia="黑体" w:cs="黑体"/>
          <w:sz w:val="32"/>
          <w:szCs w:val="32"/>
        </w:rPr>
      </w:pPr>
      <w:r>
        <w:rPr>
          <w:rFonts w:hint="eastAsia" w:ascii="黑体" w:hAnsi="黑体" w:eastAsia="黑体" w:cs="黑体"/>
          <w:sz w:val="32"/>
          <w:szCs w:val="32"/>
        </w:rPr>
        <w:t>三、报送时间地点及有关要求</w:t>
      </w:r>
    </w:p>
    <w:p>
      <w:pPr>
        <w:ind w:firstLine="640"/>
        <w:rPr>
          <w:rFonts w:ascii="仿宋" w:hAnsi="仿宋" w:eastAsia="仿宋"/>
          <w:sz w:val="32"/>
          <w:szCs w:val="32"/>
        </w:rPr>
      </w:pPr>
      <w:r>
        <w:rPr>
          <w:rFonts w:hint="eastAsia" w:ascii="仿宋" w:hAnsi="仿宋" w:eastAsia="仿宋"/>
          <w:sz w:val="32"/>
          <w:szCs w:val="32"/>
        </w:rPr>
        <w:t>本次学分材料审验采取单位集中申报的方式进行，各单位提前收集、整理相关材料。</w:t>
      </w:r>
    </w:p>
    <w:p>
      <w:pPr>
        <w:ind w:firstLine="640"/>
        <w:rPr>
          <w:rFonts w:ascii="仿宋" w:hAnsi="仿宋" w:eastAsia="仿宋"/>
          <w:sz w:val="32"/>
          <w:szCs w:val="32"/>
        </w:rPr>
      </w:pPr>
      <w:r>
        <w:rPr>
          <w:rFonts w:hint="eastAsia" w:ascii="仿宋" w:hAnsi="仿宋" w:eastAsia="仿宋"/>
          <w:sz w:val="32"/>
          <w:szCs w:val="32"/>
        </w:rPr>
        <w:t>晋升高级职称申报学分材料时间为：</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19</w:t>
      </w:r>
      <w:r>
        <w:rPr>
          <w:rFonts w:hint="eastAsia" w:ascii="仿宋" w:hAnsi="仿宋" w:eastAsia="仿宋"/>
          <w:sz w:val="32"/>
          <w:szCs w:val="32"/>
        </w:rPr>
        <w:t>日至</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30</w:t>
      </w:r>
      <w:r>
        <w:rPr>
          <w:rFonts w:hint="eastAsia" w:ascii="仿宋" w:hAnsi="仿宋" w:eastAsia="仿宋"/>
          <w:sz w:val="32"/>
          <w:szCs w:val="32"/>
        </w:rPr>
        <w:t>日（法定休息日除外）；</w:t>
      </w:r>
    </w:p>
    <w:p>
      <w:pPr>
        <w:ind w:firstLine="640"/>
        <w:rPr>
          <w:rFonts w:ascii="仿宋" w:hAnsi="仿宋" w:eastAsia="仿宋"/>
          <w:sz w:val="32"/>
          <w:szCs w:val="32"/>
        </w:rPr>
      </w:pPr>
      <w:r>
        <w:rPr>
          <w:rFonts w:hint="eastAsia" w:ascii="仿宋" w:hAnsi="仿宋" w:eastAsia="仿宋"/>
          <w:sz w:val="32"/>
          <w:szCs w:val="32"/>
        </w:rPr>
        <w:t>晋升初、中级职称申报学分材料时间为：</w:t>
      </w:r>
      <w:r>
        <w:rPr>
          <w:rFonts w:ascii="仿宋" w:hAnsi="仿宋" w:eastAsia="仿宋"/>
          <w:sz w:val="32"/>
          <w:szCs w:val="32"/>
        </w:rPr>
        <w:t xml:space="preserve"> 10</w:t>
      </w:r>
      <w:r>
        <w:rPr>
          <w:rFonts w:hint="eastAsia" w:ascii="仿宋" w:hAnsi="仿宋" w:eastAsia="仿宋"/>
          <w:sz w:val="32"/>
          <w:szCs w:val="32"/>
        </w:rPr>
        <w:t>月</w:t>
      </w:r>
      <w:r>
        <w:rPr>
          <w:rFonts w:ascii="仿宋" w:hAnsi="仿宋" w:eastAsia="仿宋"/>
          <w:sz w:val="32"/>
          <w:szCs w:val="32"/>
        </w:rPr>
        <w:t>17</w:t>
      </w:r>
      <w:r>
        <w:rPr>
          <w:rFonts w:hint="eastAsia" w:ascii="仿宋" w:hAnsi="仿宋" w:eastAsia="仿宋"/>
          <w:sz w:val="32"/>
          <w:szCs w:val="32"/>
        </w:rPr>
        <w:t>日至</w:t>
      </w:r>
      <w:r>
        <w:rPr>
          <w:rFonts w:ascii="仿宋" w:hAnsi="仿宋" w:eastAsia="仿宋"/>
          <w:sz w:val="32"/>
          <w:szCs w:val="32"/>
        </w:rPr>
        <w:t>11</w:t>
      </w:r>
      <w:r>
        <w:rPr>
          <w:rFonts w:hint="eastAsia" w:ascii="仿宋" w:hAnsi="仿宋" w:eastAsia="仿宋"/>
          <w:sz w:val="32"/>
          <w:szCs w:val="32"/>
        </w:rPr>
        <w:t>月</w:t>
      </w:r>
      <w:r>
        <w:rPr>
          <w:rFonts w:ascii="仿宋" w:hAnsi="仿宋" w:eastAsia="仿宋"/>
          <w:sz w:val="32"/>
          <w:szCs w:val="32"/>
        </w:rPr>
        <w:t>30</w:t>
      </w:r>
      <w:r>
        <w:rPr>
          <w:rFonts w:hint="eastAsia" w:ascii="仿宋" w:hAnsi="仿宋" w:eastAsia="仿宋"/>
          <w:sz w:val="32"/>
          <w:szCs w:val="32"/>
        </w:rPr>
        <w:t>日（法定休息日除外），请各单位严格按照《</w:t>
      </w:r>
      <w:r>
        <w:rPr>
          <w:rFonts w:ascii="仿宋" w:hAnsi="仿宋" w:eastAsia="仿宋"/>
          <w:sz w:val="32"/>
          <w:szCs w:val="32"/>
        </w:rPr>
        <w:t>2017</w:t>
      </w:r>
      <w:r>
        <w:rPr>
          <w:rFonts w:hint="eastAsia" w:ascii="仿宋" w:hAnsi="仿宋" w:eastAsia="仿宋"/>
          <w:sz w:val="32"/>
          <w:szCs w:val="32"/>
        </w:rPr>
        <w:t>年审验时间安排表（初、中级）》（附件</w:t>
      </w:r>
      <w:r>
        <w:rPr>
          <w:rFonts w:ascii="仿宋" w:hAnsi="仿宋" w:eastAsia="仿宋"/>
          <w:sz w:val="32"/>
          <w:szCs w:val="32"/>
        </w:rPr>
        <w:t>1</w:t>
      </w:r>
      <w:r>
        <w:rPr>
          <w:rFonts w:hint="eastAsia" w:ascii="仿宋" w:hAnsi="仿宋" w:eastAsia="仿宋"/>
          <w:sz w:val="32"/>
          <w:szCs w:val="32"/>
        </w:rPr>
        <w:t>）组织学分材料申报工作。</w:t>
      </w:r>
    </w:p>
    <w:p>
      <w:pPr>
        <w:ind w:firstLine="31680" w:firstLineChars="200"/>
        <w:rPr>
          <w:rFonts w:ascii="仿宋" w:hAnsi="仿宋" w:eastAsia="仿宋"/>
          <w:sz w:val="32"/>
          <w:szCs w:val="32"/>
        </w:rPr>
      </w:pPr>
      <w:r>
        <w:rPr>
          <w:rFonts w:hint="eastAsia" w:ascii="仿宋" w:hAnsi="仿宋" w:eastAsia="仿宋"/>
          <w:sz w:val="32"/>
          <w:szCs w:val="32"/>
        </w:rPr>
        <w:t>各单位根据本单位卫生（含计生）专业技术人员申报晋升职称情况，填报对应《</w:t>
      </w:r>
      <w:r>
        <w:rPr>
          <w:rFonts w:ascii="仿宋" w:hAnsi="仿宋" w:eastAsia="仿宋"/>
          <w:sz w:val="32"/>
          <w:szCs w:val="32"/>
        </w:rPr>
        <w:t>2017</w:t>
      </w:r>
      <w:r>
        <w:rPr>
          <w:rFonts w:hint="eastAsia" w:ascii="仿宋" w:hAnsi="仿宋" w:eastAsia="仿宋"/>
          <w:sz w:val="32"/>
          <w:szCs w:val="32"/>
        </w:rPr>
        <w:t>年专技人员继续教育学分审验汇总表》（附件</w:t>
      </w:r>
      <w:r>
        <w:rPr>
          <w:rFonts w:ascii="仿宋" w:hAnsi="仿宋" w:eastAsia="仿宋"/>
          <w:sz w:val="32"/>
          <w:szCs w:val="32"/>
        </w:rPr>
        <w:t>2</w:t>
      </w: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），审验时将纸质版与电子版一并上报。</w:t>
      </w:r>
    </w:p>
    <w:p>
      <w:pPr>
        <w:ind w:firstLine="31680" w:firstLineChars="200"/>
        <w:rPr>
          <w:rFonts w:ascii="仿宋" w:hAnsi="仿宋" w:eastAsia="仿宋"/>
          <w:sz w:val="32"/>
        </w:rPr>
      </w:pPr>
      <w:r>
        <w:rPr>
          <w:rFonts w:hint="eastAsia" w:ascii="仿宋" w:hAnsi="仿宋" w:eastAsia="仿宋"/>
          <w:sz w:val="32"/>
          <w:szCs w:val="32"/>
        </w:rPr>
        <w:t>学分材料报送地点：</w:t>
      </w:r>
      <w:r>
        <w:rPr>
          <w:rFonts w:hint="eastAsia" w:ascii="仿宋" w:hAnsi="仿宋" w:eastAsia="仿宋"/>
          <w:sz w:val="32"/>
        </w:rPr>
        <w:t>青岛市卫生和计划生育人才综合服务中心</w:t>
      </w:r>
      <w:r>
        <w:rPr>
          <w:rFonts w:ascii="仿宋" w:hAnsi="仿宋" w:eastAsia="仿宋"/>
          <w:sz w:val="32"/>
        </w:rPr>
        <w:t>1</w:t>
      </w:r>
      <w:r>
        <w:rPr>
          <w:rFonts w:hint="eastAsia" w:ascii="仿宋" w:hAnsi="仿宋" w:eastAsia="仿宋"/>
          <w:sz w:val="32"/>
        </w:rPr>
        <w:t>号楼</w:t>
      </w:r>
      <w:r>
        <w:rPr>
          <w:rFonts w:ascii="仿宋" w:hAnsi="仿宋" w:eastAsia="仿宋"/>
          <w:sz w:val="32"/>
        </w:rPr>
        <w:t>2</w:t>
      </w:r>
      <w:r>
        <w:rPr>
          <w:rFonts w:hint="eastAsia" w:ascii="仿宋" w:hAnsi="仿宋" w:eastAsia="仿宋"/>
          <w:sz w:val="32"/>
        </w:rPr>
        <w:t>楼培训教室（市南区栖霞路</w:t>
      </w:r>
      <w:r>
        <w:rPr>
          <w:rFonts w:ascii="仿宋" w:hAnsi="仿宋" w:eastAsia="仿宋"/>
          <w:sz w:val="32"/>
        </w:rPr>
        <w:t>16</w:t>
      </w:r>
      <w:r>
        <w:rPr>
          <w:rFonts w:hint="eastAsia" w:ascii="仿宋" w:hAnsi="仿宋" w:eastAsia="仿宋"/>
          <w:sz w:val="32"/>
        </w:rPr>
        <w:t>号）</w:t>
      </w:r>
    </w:p>
    <w:p>
      <w:pPr>
        <w:spacing w:line="560" w:lineRule="exact"/>
        <w:ind w:firstLine="31680" w:firstLineChars="200"/>
        <w:rPr>
          <w:rFonts w:ascii="黑体" w:hAnsi="黑体" w:eastAsia="黑体" w:cs="黑体"/>
          <w:sz w:val="32"/>
          <w:szCs w:val="32"/>
        </w:rPr>
      </w:pPr>
      <w:r>
        <w:rPr>
          <w:rFonts w:hint="eastAsia" w:ascii="黑体" w:hAnsi="黑体" w:eastAsia="黑体" w:cs="黑体"/>
          <w:sz w:val="32"/>
          <w:szCs w:val="32"/>
        </w:rPr>
        <w:t>四、联系方式</w:t>
      </w:r>
    </w:p>
    <w:p>
      <w:pPr>
        <w:ind w:firstLine="31680" w:firstLineChars="200"/>
        <w:rPr>
          <w:rFonts w:ascii="仿宋" w:hAnsi="仿宋" w:eastAsia="仿宋"/>
          <w:sz w:val="32"/>
          <w:szCs w:val="32"/>
        </w:rPr>
      </w:pPr>
      <w:r>
        <w:rPr>
          <w:rFonts w:hint="eastAsia" w:ascii="仿宋" w:hAnsi="仿宋" w:eastAsia="仿宋"/>
          <w:sz w:val="32"/>
          <w:szCs w:val="32"/>
        </w:rPr>
        <w:t>联系人及电话：马冠楠</w:t>
      </w:r>
      <w:r>
        <w:rPr>
          <w:rFonts w:ascii="仿宋" w:hAnsi="仿宋" w:eastAsia="仿宋"/>
          <w:sz w:val="32"/>
          <w:szCs w:val="32"/>
        </w:rPr>
        <w:t xml:space="preserve">  </w:t>
      </w:r>
      <w:r>
        <w:rPr>
          <w:rFonts w:hint="eastAsia" w:ascii="仿宋" w:hAnsi="仿宋" w:eastAsia="仿宋"/>
          <w:sz w:val="32"/>
          <w:szCs w:val="32"/>
        </w:rPr>
        <w:t>党振才</w:t>
      </w:r>
      <w:r>
        <w:rPr>
          <w:rFonts w:ascii="仿宋" w:hAnsi="仿宋" w:eastAsia="仿宋"/>
          <w:sz w:val="32"/>
          <w:szCs w:val="32"/>
        </w:rPr>
        <w:t xml:space="preserve"> 82969267</w:t>
      </w:r>
    </w:p>
    <w:p>
      <w:pPr>
        <w:ind w:firstLine="31680" w:firstLineChars="200"/>
        <w:rPr>
          <w:rFonts w:ascii="仿宋" w:hAnsi="仿宋" w:eastAsia="仿宋"/>
          <w:sz w:val="32"/>
          <w:szCs w:val="32"/>
        </w:rPr>
      </w:pPr>
      <w:r>
        <w:rPr>
          <w:rFonts w:hint="eastAsia" w:ascii="仿宋" w:hAnsi="仿宋" w:eastAsia="仿宋"/>
          <w:sz w:val="32"/>
          <w:szCs w:val="32"/>
        </w:rPr>
        <w:t>电子邮箱：</w:t>
      </w:r>
      <w:r>
        <w:rPr>
          <w:rFonts w:ascii="仿宋" w:hAnsi="仿宋" w:eastAsia="仿宋"/>
          <w:sz w:val="32"/>
          <w:szCs w:val="32"/>
        </w:rPr>
        <w:t>wsrcpxk@126.com</w:t>
      </w:r>
    </w:p>
    <w:p>
      <w:pPr>
        <w:ind w:firstLine="31680" w:firstLineChars="200"/>
        <w:rPr>
          <w:rFonts w:ascii="仿宋" w:hAnsi="仿宋" w:eastAsia="仿宋"/>
          <w:sz w:val="32"/>
          <w:szCs w:val="32"/>
        </w:rPr>
      </w:pPr>
      <w:r>
        <w:rPr>
          <w:rFonts w:hint="eastAsia" w:ascii="仿宋" w:hAnsi="仿宋" w:eastAsia="仿宋"/>
          <w:b/>
          <w:sz w:val="32"/>
          <w:szCs w:val="32"/>
        </w:rPr>
        <w:t>附件：</w:t>
      </w:r>
      <w:r>
        <w:rPr>
          <w:rFonts w:ascii="仿宋" w:hAnsi="仿宋" w:eastAsia="仿宋"/>
          <w:sz w:val="32"/>
          <w:szCs w:val="32"/>
        </w:rPr>
        <w:t>1.2017</w:t>
      </w:r>
      <w:r>
        <w:rPr>
          <w:rFonts w:hint="eastAsia" w:ascii="仿宋" w:hAnsi="仿宋" w:eastAsia="仿宋"/>
          <w:sz w:val="32"/>
          <w:szCs w:val="32"/>
        </w:rPr>
        <w:t>年学分审验时间安排表（初、中级）</w:t>
      </w:r>
    </w:p>
    <w:p>
      <w:pPr>
        <w:rPr>
          <w:rFonts w:ascii="仿宋" w:hAnsi="仿宋" w:eastAsia="仿宋"/>
          <w:spacing w:val="-20"/>
          <w:sz w:val="32"/>
          <w:szCs w:val="32"/>
        </w:rPr>
      </w:pPr>
      <w:r>
        <w:rPr>
          <w:rFonts w:ascii="仿宋" w:hAnsi="仿宋" w:eastAsia="仿宋"/>
          <w:sz w:val="32"/>
          <w:szCs w:val="32"/>
        </w:rPr>
        <w:t xml:space="preserve">          2.</w:t>
      </w:r>
      <w:r>
        <w:rPr>
          <w:rFonts w:ascii="仿宋" w:hAnsi="仿宋" w:eastAsia="仿宋"/>
          <w:spacing w:val="-20"/>
          <w:sz w:val="32"/>
          <w:szCs w:val="32"/>
        </w:rPr>
        <w:t>2017</w:t>
      </w:r>
      <w:r>
        <w:rPr>
          <w:rFonts w:hint="eastAsia" w:ascii="仿宋" w:hAnsi="仿宋" w:eastAsia="仿宋"/>
          <w:spacing w:val="-20"/>
          <w:sz w:val="32"/>
          <w:szCs w:val="32"/>
        </w:rPr>
        <w:t>年度专技人员继续教育学分审验汇总表（高级）</w:t>
      </w:r>
    </w:p>
    <w:p>
      <w:pPr>
        <w:rPr>
          <w:rFonts w:ascii="仿宋" w:hAnsi="仿宋" w:eastAsia="仿宋"/>
          <w:spacing w:val="-20"/>
          <w:sz w:val="32"/>
          <w:szCs w:val="32"/>
        </w:rPr>
      </w:pPr>
      <w:r>
        <w:rPr>
          <w:rFonts w:ascii="仿宋" w:hAnsi="仿宋" w:eastAsia="仿宋"/>
          <w:sz w:val="32"/>
          <w:szCs w:val="32"/>
        </w:rPr>
        <w:t xml:space="preserve">          </w:t>
      </w:r>
      <w:r>
        <w:rPr>
          <w:rFonts w:ascii="仿宋" w:hAnsi="仿宋" w:eastAsia="仿宋"/>
          <w:spacing w:val="-20"/>
          <w:sz w:val="32"/>
          <w:szCs w:val="32"/>
        </w:rPr>
        <w:t>3.2017</w:t>
      </w:r>
      <w:r>
        <w:rPr>
          <w:rFonts w:hint="eastAsia" w:ascii="仿宋" w:hAnsi="仿宋" w:eastAsia="仿宋"/>
          <w:spacing w:val="-20"/>
          <w:sz w:val="32"/>
          <w:szCs w:val="32"/>
        </w:rPr>
        <w:t>年度专技人员继续教育学分审验汇总表（初、中级）</w:t>
      </w:r>
    </w:p>
    <w:p/>
    <w:p>
      <w:pPr>
        <w:widowControl/>
        <w:jc w:val="right"/>
        <w:rPr>
          <w:rFonts w:ascii="仿宋" w:hAnsi="仿宋" w:eastAsia="仿宋"/>
          <w:bCs/>
          <w:spacing w:val="-10"/>
          <w:sz w:val="32"/>
          <w:szCs w:val="32"/>
        </w:rPr>
      </w:pPr>
    </w:p>
    <w:p>
      <w:pPr>
        <w:widowControl/>
        <w:jc w:val="right"/>
        <w:rPr>
          <w:rFonts w:ascii="仿宋" w:hAnsi="仿宋" w:eastAsia="仿宋"/>
          <w:bCs/>
          <w:spacing w:val="-10"/>
          <w:sz w:val="32"/>
          <w:szCs w:val="32"/>
        </w:rPr>
      </w:pPr>
    </w:p>
    <w:p>
      <w:pPr>
        <w:widowControl/>
        <w:jc w:val="right"/>
        <w:rPr>
          <w:rFonts w:ascii="仿宋" w:hAnsi="仿宋" w:eastAsia="仿宋"/>
          <w:bCs/>
          <w:spacing w:val="-10"/>
          <w:sz w:val="32"/>
          <w:szCs w:val="32"/>
        </w:rPr>
      </w:pPr>
      <w:r>
        <w:rPr>
          <w:rFonts w:hint="eastAsia" w:ascii="仿宋" w:hAnsi="仿宋" w:eastAsia="仿宋"/>
          <w:bCs/>
          <w:spacing w:val="-10"/>
          <w:sz w:val="32"/>
          <w:szCs w:val="32"/>
        </w:rPr>
        <w:t>青岛市卫生和计划生育委员会</w:t>
      </w:r>
    </w:p>
    <w:p>
      <w:pPr>
        <w:widowControl/>
        <w:jc w:val="left"/>
        <w:rPr>
          <w:rFonts w:ascii="仿宋" w:hAnsi="仿宋" w:eastAsia="仿宋"/>
          <w:bCs/>
          <w:spacing w:val="-10"/>
          <w:sz w:val="32"/>
          <w:szCs w:val="32"/>
        </w:rPr>
      </w:pPr>
      <w:r>
        <w:rPr>
          <w:rFonts w:ascii="仿宋" w:hAnsi="仿宋" w:eastAsia="仿宋"/>
          <w:bCs/>
          <w:spacing w:val="-10"/>
          <w:sz w:val="32"/>
          <w:szCs w:val="32"/>
        </w:rPr>
        <w:t xml:space="preserve">                                         2017</w:t>
      </w:r>
      <w:r>
        <w:rPr>
          <w:rFonts w:hint="eastAsia" w:ascii="仿宋" w:hAnsi="仿宋" w:eastAsia="仿宋"/>
          <w:bCs/>
          <w:spacing w:val="-10"/>
          <w:sz w:val="32"/>
          <w:szCs w:val="32"/>
        </w:rPr>
        <w:t>年</w:t>
      </w:r>
      <w:r>
        <w:rPr>
          <w:rFonts w:ascii="仿宋" w:hAnsi="仿宋" w:eastAsia="仿宋"/>
          <w:bCs/>
          <w:spacing w:val="-10"/>
          <w:sz w:val="32"/>
          <w:szCs w:val="32"/>
        </w:rPr>
        <w:t>9</w:t>
      </w:r>
      <w:r>
        <w:rPr>
          <w:rFonts w:hint="eastAsia" w:ascii="仿宋" w:hAnsi="仿宋" w:eastAsia="仿宋"/>
          <w:bCs/>
          <w:spacing w:val="-10"/>
          <w:sz w:val="32"/>
          <w:szCs w:val="32"/>
        </w:rPr>
        <w:t>月</w:t>
      </w:r>
      <w:r>
        <w:rPr>
          <w:rFonts w:ascii="仿宋" w:hAnsi="仿宋" w:eastAsia="仿宋"/>
          <w:bCs/>
          <w:spacing w:val="-10"/>
          <w:sz w:val="32"/>
          <w:szCs w:val="32"/>
        </w:rPr>
        <w:t>14</w:t>
      </w:r>
      <w:r>
        <w:rPr>
          <w:rFonts w:hint="eastAsia" w:ascii="仿宋" w:hAnsi="仿宋" w:eastAsia="仿宋"/>
          <w:bCs/>
          <w:spacing w:val="-10"/>
          <w:sz w:val="32"/>
          <w:szCs w:val="32"/>
        </w:rPr>
        <w:t>日</w:t>
      </w:r>
    </w:p>
    <w:p>
      <w:pPr>
        <w:rPr>
          <w:rFonts w:ascii="仿宋" w:hAnsi="仿宋" w:eastAsia="仿宋"/>
          <w:bCs/>
          <w:spacing w:val="-10"/>
          <w:sz w:val="32"/>
          <w:szCs w:val="32"/>
        </w:rPr>
      </w:pPr>
      <w:r>
        <w:rPr>
          <w:rFonts w:ascii="仿宋" w:hAnsi="仿宋" w:eastAsia="仿宋"/>
          <w:bCs/>
          <w:spacing w:val="-10"/>
          <w:sz w:val="32"/>
          <w:szCs w:val="32"/>
        </w:rPr>
        <w:br w:type="page"/>
      </w:r>
      <w:r>
        <w:rPr>
          <w:rFonts w:hint="eastAsia" w:ascii="黑体" w:hAnsi="黑体" w:eastAsia="黑体"/>
          <w:bCs/>
          <w:spacing w:val="-10"/>
          <w:sz w:val="32"/>
          <w:szCs w:val="32"/>
        </w:rPr>
        <w:t>附件</w:t>
      </w:r>
      <w:r>
        <w:rPr>
          <w:rFonts w:ascii="黑体" w:hAnsi="黑体" w:eastAsia="黑体"/>
          <w:bCs/>
          <w:spacing w:val="-10"/>
          <w:sz w:val="32"/>
          <w:szCs w:val="32"/>
        </w:rPr>
        <w:t>1</w:t>
      </w:r>
    </w:p>
    <w:tbl>
      <w:tblPr>
        <w:tblStyle w:val="11"/>
        <w:tblW w:w="86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990"/>
        <w:gridCol w:w="3750"/>
        <w:gridCol w:w="3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20" w:hRule="atLeast"/>
          <w:jc w:val="center"/>
        </w:trPr>
        <w:tc>
          <w:tcPr>
            <w:tcW w:w="8670" w:type="dxa"/>
            <w:gridSpan w:val="3"/>
            <w:tcBorders>
              <w:bottom w:val="single" w:color="auto" w:sz="4" w:space="0"/>
            </w:tcBorders>
            <w:vAlign w:val="top"/>
          </w:tcPr>
          <w:p>
            <w:pPr>
              <w:widowControl/>
              <w:jc w:val="center"/>
              <w:textAlignment w:val="center"/>
              <w:rPr>
                <w:rFonts w:ascii="宋体" w:cs="宋体"/>
                <w:b/>
                <w:color w:val="000000"/>
                <w:sz w:val="36"/>
                <w:szCs w:val="36"/>
              </w:rPr>
            </w:pPr>
            <w:r>
              <w:rPr>
                <w:rFonts w:ascii="方正小标宋_GBK" w:hAnsi="黑体" w:eastAsia="方正小标宋_GBK" w:cs="黑体"/>
                <w:sz w:val="36"/>
                <w:szCs w:val="36"/>
              </w:rPr>
              <w:t>2017</w:t>
            </w:r>
            <w:r>
              <w:rPr>
                <w:rFonts w:hint="eastAsia" w:ascii="方正小标宋_GBK" w:hAnsi="黑体" w:eastAsia="方正小标宋_GBK" w:cs="黑体"/>
                <w:sz w:val="36"/>
                <w:szCs w:val="36"/>
              </w:rPr>
              <w:t>年度继续教育学分审验时间安排表</w:t>
            </w:r>
            <w:r>
              <w:rPr>
                <w:rFonts w:ascii="方正小标宋_GBK" w:hAnsi="黑体" w:eastAsia="方正小标宋_GBK" w:cs="黑体"/>
                <w:sz w:val="36"/>
                <w:szCs w:val="36"/>
              </w:rPr>
              <w:t>(</w:t>
            </w:r>
            <w:r>
              <w:rPr>
                <w:rFonts w:hint="eastAsia" w:ascii="方正小标宋_GBK" w:hAnsi="黑体" w:eastAsia="方正小标宋_GBK" w:cs="黑体"/>
                <w:sz w:val="36"/>
                <w:szCs w:val="36"/>
              </w:rPr>
              <w:t>初、中级</w:t>
            </w:r>
            <w:r>
              <w:rPr>
                <w:rFonts w:ascii="方正小标宋_GBK" w:hAnsi="黑体" w:eastAsia="方正小标宋_GBK" w:cs="黑体"/>
                <w:sz w:val="36"/>
                <w:szCs w:val="3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ascii="宋体" w:cs="宋体"/>
                <w:b/>
                <w:color w:val="000000"/>
                <w:sz w:val="28"/>
                <w:szCs w:val="28"/>
              </w:rPr>
            </w:pPr>
            <w:r>
              <w:rPr>
                <w:rFonts w:hint="eastAsia" w:ascii="宋体" w:hAnsi="宋体" w:cs="宋体"/>
                <w:b/>
                <w:color w:val="000000"/>
                <w:kern w:val="0"/>
                <w:sz w:val="28"/>
                <w:szCs w:val="28"/>
              </w:rPr>
              <w:t>序号</w:t>
            </w:r>
          </w:p>
        </w:tc>
        <w:tc>
          <w:tcPr>
            <w:tcW w:w="3750"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ascii="宋体" w:cs="宋体"/>
                <w:b/>
                <w:color w:val="000000"/>
                <w:sz w:val="28"/>
                <w:szCs w:val="28"/>
              </w:rPr>
            </w:pPr>
            <w:r>
              <w:rPr>
                <w:rFonts w:hint="eastAsia" w:ascii="宋体" w:hAnsi="宋体" w:cs="宋体"/>
                <w:b/>
                <w:color w:val="000000"/>
                <w:kern w:val="0"/>
                <w:sz w:val="28"/>
                <w:szCs w:val="28"/>
              </w:rPr>
              <w:t>时间安排</w:t>
            </w:r>
          </w:p>
        </w:tc>
        <w:tc>
          <w:tcPr>
            <w:tcW w:w="3930"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ascii="宋体" w:cs="宋体"/>
                <w:b/>
                <w:color w:val="000000"/>
                <w:sz w:val="28"/>
                <w:szCs w:val="28"/>
              </w:rPr>
            </w:pPr>
            <w:r>
              <w:rPr>
                <w:rFonts w:hint="eastAsia" w:ascii="宋体" w:hAnsi="宋体" w:cs="宋体"/>
                <w:b/>
                <w:color w:val="000000"/>
                <w:kern w:val="0"/>
                <w:sz w:val="28"/>
                <w:szCs w:val="28"/>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17</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青岛市疾控预防控制中心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2</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18</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青岛市第三人民医院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3</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19</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青岛市胸科医院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4</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20</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青岛市第五人民医院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5</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23</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青岛市第六人民医院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6</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24</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青岛市市立医院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7</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25</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kern w:val="0"/>
                <w:sz w:val="28"/>
                <w:szCs w:val="28"/>
              </w:rPr>
            </w:pPr>
            <w:r>
              <w:rPr>
                <w:rFonts w:hint="eastAsia" w:ascii="宋体" w:hAnsi="宋体" w:cs="宋体"/>
                <w:color w:val="000000"/>
                <w:kern w:val="0"/>
                <w:sz w:val="28"/>
                <w:szCs w:val="28"/>
              </w:rPr>
              <w:t>青岛市中心血站</w:t>
            </w:r>
          </w:p>
          <w:p>
            <w:pPr>
              <w:widowControl/>
              <w:jc w:val="center"/>
              <w:textAlignment w:val="center"/>
              <w:rPr>
                <w:rFonts w:ascii="宋体" w:cs="宋体"/>
                <w:b/>
                <w:bCs/>
                <w:color w:val="000000"/>
                <w:sz w:val="28"/>
                <w:szCs w:val="28"/>
              </w:rPr>
            </w:pPr>
            <w:r>
              <w:rPr>
                <w:rFonts w:hint="eastAsia" w:ascii="宋体" w:hAnsi="宋体" w:cs="宋体"/>
                <w:color w:val="000000"/>
                <w:kern w:val="0"/>
                <w:sz w:val="28"/>
                <w:szCs w:val="28"/>
              </w:rPr>
              <w:t>青岛市急救中心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8</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26</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青岛市精神卫生中心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9</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27</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kern w:val="0"/>
                <w:sz w:val="28"/>
                <w:szCs w:val="28"/>
              </w:rPr>
            </w:pPr>
            <w:r>
              <w:rPr>
                <w:rFonts w:hint="eastAsia" w:ascii="宋体" w:hAnsi="宋体" w:cs="宋体"/>
                <w:kern w:val="0"/>
                <w:sz w:val="28"/>
                <w:szCs w:val="28"/>
              </w:rPr>
              <w:t>眼科医院</w:t>
            </w:r>
          </w:p>
          <w:p>
            <w:pPr>
              <w:widowControl/>
              <w:jc w:val="center"/>
              <w:textAlignment w:val="center"/>
              <w:rPr>
                <w:rFonts w:ascii="宋体" w:cs="宋体"/>
                <w:color w:val="FF0000"/>
                <w:sz w:val="28"/>
                <w:szCs w:val="28"/>
              </w:rPr>
            </w:pPr>
            <w:r>
              <w:rPr>
                <w:rFonts w:hint="eastAsia" w:ascii="宋体" w:hAnsi="宋体" w:cs="宋体"/>
                <w:color w:val="000000"/>
                <w:kern w:val="0"/>
                <w:sz w:val="28"/>
                <w:szCs w:val="28"/>
              </w:rPr>
              <w:t>青岛市口腔医院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10</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30</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kern w:val="0"/>
                <w:sz w:val="28"/>
                <w:szCs w:val="28"/>
              </w:rPr>
            </w:pPr>
            <w:r>
              <w:rPr>
                <w:rFonts w:hint="eastAsia" w:ascii="宋体" w:hAnsi="宋体" w:cs="宋体"/>
                <w:kern w:val="0"/>
                <w:sz w:val="28"/>
                <w:szCs w:val="28"/>
              </w:rPr>
              <w:t>青岛市阜外医院</w:t>
            </w:r>
          </w:p>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青岛市第九人民医院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11</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10</w:t>
            </w:r>
            <w:r>
              <w:rPr>
                <w:rFonts w:hint="eastAsia" w:ascii="宋体" w:hAnsi="宋体" w:cs="宋体"/>
                <w:color w:val="000000"/>
                <w:kern w:val="0"/>
                <w:sz w:val="28"/>
                <w:szCs w:val="28"/>
              </w:rPr>
              <w:t>月</w:t>
            </w:r>
            <w:r>
              <w:rPr>
                <w:rFonts w:ascii="宋体" w:hAnsi="宋体" w:cs="宋体"/>
                <w:color w:val="000000"/>
                <w:kern w:val="0"/>
                <w:sz w:val="28"/>
                <w:szCs w:val="28"/>
              </w:rPr>
              <w:t>31</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山东大学齐鲁医院（青岛）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12</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青岛大学医学院附属医院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13</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2</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市南区卫计局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14</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3</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市北区卫计局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15</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6</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崂山区卫计局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16</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7</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FF0000"/>
                <w:sz w:val="28"/>
                <w:szCs w:val="28"/>
              </w:rPr>
            </w:pPr>
            <w:r>
              <w:rPr>
                <w:rFonts w:hint="eastAsia" w:ascii="宋体" w:hAnsi="宋体" w:cs="宋体"/>
                <w:color w:val="000000"/>
                <w:kern w:val="0"/>
                <w:sz w:val="28"/>
                <w:szCs w:val="28"/>
              </w:rPr>
              <w:t>即墨市卫计局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17</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8</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FF0000"/>
                <w:sz w:val="28"/>
                <w:szCs w:val="28"/>
              </w:rPr>
            </w:pPr>
            <w:r>
              <w:rPr>
                <w:rFonts w:hint="eastAsia" w:ascii="宋体" w:hAnsi="宋体" w:cs="宋体"/>
                <w:color w:val="000000"/>
                <w:kern w:val="0"/>
                <w:sz w:val="28"/>
                <w:szCs w:val="28"/>
              </w:rPr>
              <w:t>青岛第八人民医院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18</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9</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sz w:val="28"/>
                <w:szCs w:val="28"/>
              </w:rPr>
            </w:pPr>
            <w:r>
              <w:rPr>
                <w:rFonts w:hint="eastAsia" w:ascii="宋体" w:hAnsi="宋体" w:cs="宋体"/>
                <w:kern w:val="0"/>
                <w:sz w:val="28"/>
                <w:szCs w:val="28"/>
              </w:rPr>
              <w:t>青岛市海慈医疗集团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19</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10</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青岛市中心（肿瘤）医院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20</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13</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胶州市卫计局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21</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14</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平度市卫计局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22</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15</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8"/>
                <w:szCs w:val="28"/>
              </w:rPr>
            </w:pPr>
            <w:r>
              <w:rPr>
                <w:rFonts w:hint="eastAsia" w:ascii="宋体" w:hAnsi="宋体" w:cs="宋体"/>
                <w:color w:val="000000"/>
                <w:kern w:val="0"/>
                <w:sz w:val="28"/>
                <w:szCs w:val="28"/>
              </w:rPr>
              <w:t>莱西市卫计局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23</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16</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青岛市妇女儿童医院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24</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17</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8"/>
                <w:szCs w:val="28"/>
              </w:rPr>
            </w:pPr>
            <w:r>
              <w:rPr>
                <w:rFonts w:hint="eastAsia" w:ascii="宋体" w:hAnsi="宋体" w:cs="宋体"/>
                <w:color w:val="000000"/>
                <w:kern w:val="0"/>
                <w:sz w:val="28"/>
                <w:szCs w:val="28"/>
              </w:rPr>
              <w:t>胶州中心医院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25</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20</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李沧区卫计局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26</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21</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8"/>
                <w:szCs w:val="28"/>
              </w:rPr>
            </w:pPr>
            <w:r>
              <w:rPr>
                <w:rFonts w:hint="eastAsia" w:ascii="宋体" w:hAnsi="宋体" w:cs="宋体"/>
                <w:color w:val="000000"/>
                <w:kern w:val="0"/>
                <w:sz w:val="28"/>
                <w:szCs w:val="28"/>
              </w:rPr>
              <w:t>城阳区卫计局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27</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22</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黄岛开发区卫计局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42" w:hRule="atLeast"/>
          <w:jc w:val="center"/>
        </w:trPr>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sz w:val="28"/>
                <w:szCs w:val="28"/>
              </w:rPr>
              <w:t>28</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月</w:t>
            </w:r>
            <w:r>
              <w:rPr>
                <w:rFonts w:ascii="宋体" w:hAnsi="宋体" w:cs="宋体"/>
                <w:color w:val="000000"/>
                <w:kern w:val="0"/>
                <w:sz w:val="28"/>
                <w:szCs w:val="28"/>
              </w:rPr>
              <w:t>23</w:t>
            </w:r>
            <w:r>
              <w:rPr>
                <w:rFonts w:hint="eastAsia" w:ascii="宋体" w:hAnsi="宋体" w:cs="宋体"/>
                <w:color w:val="000000"/>
                <w:kern w:val="0"/>
                <w:sz w:val="28"/>
                <w:szCs w:val="28"/>
              </w:rPr>
              <w:t>日</w:t>
            </w:r>
            <w:r>
              <w:rPr>
                <w:rFonts w:ascii="宋体" w:cs="宋体"/>
                <w:color w:val="000000"/>
                <w:kern w:val="0"/>
                <w:sz w:val="28"/>
                <w:szCs w:val="28"/>
              </w:rPr>
              <w:t>-</w:t>
            </w:r>
            <w:r>
              <w:rPr>
                <w:rFonts w:ascii="宋体" w:hAnsi="宋体" w:cs="宋体"/>
                <w:color w:val="000000"/>
                <w:kern w:val="0"/>
                <w:sz w:val="28"/>
                <w:szCs w:val="28"/>
              </w:rPr>
              <w:t>30</w:t>
            </w:r>
            <w:r>
              <w:rPr>
                <w:rFonts w:hint="eastAsia" w:ascii="宋体" w:hAnsi="宋体" w:cs="宋体"/>
                <w:color w:val="000000"/>
                <w:kern w:val="0"/>
                <w:sz w:val="28"/>
                <w:szCs w:val="28"/>
              </w:rPr>
              <w:t>日</w:t>
            </w:r>
          </w:p>
        </w:tc>
        <w:tc>
          <w:tcPr>
            <w:tcW w:w="39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rPr>
              <w:t>其他医疗卫生单位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42" w:hRule="atLeast"/>
          <w:jc w:val="center"/>
        </w:trPr>
        <w:tc>
          <w:tcPr>
            <w:tcW w:w="8670" w:type="dxa"/>
            <w:gridSpan w:val="3"/>
            <w:tcBorders>
              <w:top w:val="single" w:color="auto" w:sz="4" w:space="0"/>
            </w:tcBorders>
            <w:vAlign w:val="top"/>
          </w:tcPr>
          <w:p>
            <w:pPr>
              <w:widowControl/>
              <w:jc w:val="left"/>
              <w:textAlignment w:val="center"/>
              <w:rPr>
                <w:rFonts w:ascii="宋体" w:cs="宋体"/>
                <w:color w:val="000000"/>
                <w:sz w:val="28"/>
                <w:szCs w:val="28"/>
              </w:rPr>
            </w:pPr>
            <w:r>
              <w:rPr>
                <w:rFonts w:hint="eastAsia" w:ascii="宋体" w:hAnsi="宋体" w:cs="宋体"/>
                <w:color w:val="000000"/>
                <w:kern w:val="0"/>
                <w:sz w:val="28"/>
                <w:szCs w:val="28"/>
              </w:rPr>
              <w:t>注：请各单位按照时间要求以单位报送形式组织集中审验</w:t>
            </w:r>
          </w:p>
        </w:tc>
      </w:tr>
    </w:tbl>
    <w:p>
      <w:pPr>
        <w:spacing w:line="400" w:lineRule="exact"/>
        <w:rPr>
          <w:rFonts w:ascii="黑体" w:hAnsi="黑体" w:eastAsia="黑体"/>
          <w:bCs/>
          <w:spacing w:val="-10"/>
          <w:sz w:val="32"/>
          <w:szCs w:val="32"/>
        </w:rPr>
        <w:sectPr>
          <w:footerReference r:id="rId4" w:type="default"/>
          <w:pgSz w:w="11906" w:h="16838"/>
          <w:pgMar w:top="2098" w:right="1474" w:bottom="1985" w:left="1588" w:header="851" w:footer="992" w:gutter="0"/>
          <w:cols w:space="720" w:num="1"/>
          <w:docGrid w:type="lines" w:linePitch="312" w:charSpace="0"/>
        </w:sectPr>
      </w:pPr>
    </w:p>
    <w:p>
      <w:pPr>
        <w:spacing w:line="400" w:lineRule="exact"/>
        <w:rPr>
          <w:rFonts w:ascii="黑体" w:hAnsi="黑体" w:eastAsia="黑体"/>
          <w:bCs/>
          <w:spacing w:val="-10"/>
          <w:sz w:val="32"/>
          <w:szCs w:val="32"/>
        </w:rPr>
      </w:pPr>
      <w:r>
        <w:rPr>
          <w:rFonts w:hint="eastAsia" w:ascii="黑体" w:hAnsi="黑体" w:eastAsia="黑体"/>
          <w:bCs/>
          <w:spacing w:val="-10"/>
          <w:sz w:val="32"/>
          <w:szCs w:val="32"/>
        </w:rPr>
        <w:t>附件</w:t>
      </w:r>
      <w:r>
        <w:rPr>
          <w:rFonts w:ascii="黑体" w:hAnsi="黑体" w:eastAsia="黑体"/>
          <w:bCs/>
          <w:spacing w:val="-10"/>
          <w:sz w:val="32"/>
          <w:szCs w:val="32"/>
        </w:rPr>
        <w:t>2</w:t>
      </w:r>
    </w:p>
    <w:p>
      <w:pPr>
        <w:adjustRightInd w:val="0"/>
        <w:snapToGrid w:val="0"/>
        <w:jc w:val="center"/>
        <w:rPr>
          <w:rFonts w:ascii="方正小标宋简体" w:hAnsi="黑体" w:eastAsia="方正小标宋简体" w:cs="黑体"/>
          <w:sz w:val="44"/>
          <w:szCs w:val="44"/>
        </w:rPr>
      </w:pPr>
      <w:r>
        <w:rPr>
          <w:rFonts w:ascii="方正小标宋简体" w:hAnsi="黑体" w:eastAsia="方正小标宋简体" w:cs="黑体"/>
          <w:sz w:val="44"/>
          <w:szCs w:val="44"/>
        </w:rPr>
        <w:t>2017</w:t>
      </w:r>
      <w:r>
        <w:rPr>
          <w:rFonts w:hint="eastAsia" w:ascii="方正小标宋简体" w:hAnsi="黑体" w:eastAsia="方正小标宋简体" w:cs="黑体"/>
          <w:sz w:val="44"/>
          <w:szCs w:val="44"/>
        </w:rPr>
        <w:t>年专技人员继续教育学分审验汇总表（高级）</w:t>
      </w:r>
    </w:p>
    <w:p>
      <w:pPr>
        <w:adjustRightInd w:val="0"/>
        <w:snapToGrid w:val="0"/>
        <w:rPr>
          <w:rFonts w:ascii="方正小标宋_GBK" w:hAnsi="黑体" w:eastAsia="方正小标宋_GBK" w:cs="黑体"/>
          <w:sz w:val="44"/>
          <w:szCs w:val="44"/>
        </w:rPr>
      </w:pPr>
      <w:r>
        <w:rPr>
          <w:rFonts w:hint="eastAsia" w:ascii="华文楷体" w:hAnsi="华文楷体" w:eastAsia="华文楷体" w:cs="黑体"/>
          <w:b/>
          <w:sz w:val="28"/>
          <w:szCs w:val="28"/>
        </w:rPr>
        <w:t>主管部门</w:t>
      </w:r>
      <w:r>
        <w:rPr>
          <w:rFonts w:hint="eastAsia" w:ascii="华文楷体" w:hAnsi="华文楷体" w:eastAsia="华文楷体"/>
          <w:b/>
          <w:sz w:val="28"/>
          <w:szCs w:val="28"/>
        </w:rPr>
        <w:t>：</w:t>
      </w:r>
      <w:r>
        <w:rPr>
          <w:rFonts w:ascii="华文楷体" w:hAnsi="华文楷体" w:eastAsia="华文楷体"/>
          <w:b/>
          <w:sz w:val="28"/>
          <w:szCs w:val="28"/>
        </w:rPr>
        <w:t xml:space="preserve">                               </w:t>
      </w:r>
      <w:r>
        <w:rPr>
          <w:rFonts w:hint="eastAsia" w:ascii="华文楷体" w:hAnsi="华文楷体" w:eastAsia="华文楷体"/>
          <w:b/>
          <w:sz w:val="28"/>
          <w:szCs w:val="28"/>
        </w:rPr>
        <w:t>经办人：</w:t>
      </w:r>
      <w:r>
        <w:rPr>
          <w:rFonts w:ascii="华文楷体" w:hAnsi="华文楷体" w:eastAsia="华文楷体"/>
          <w:b/>
          <w:sz w:val="28"/>
          <w:szCs w:val="28"/>
        </w:rPr>
        <w:t xml:space="preserve">       </w:t>
      </w:r>
      <w:r>
        <w:rPr>
          <w:rFonts w:hint="eastAsia" w:ascii="华文楷体" w:hAnsi="华文楷体" w:eastAsia="华文楷体"/>
          <w:b/>
          <w:sz w:val="28"/>
          <w:szCs w:val="28"/>
        </w:rPr>
        <w:t>联系电话：</w:t>
      </w:r>
      <w:r>
        <w:rPr>
          <w:rFonts w:ascii="华文楷体" w:hAnsi="华文楷体" w:eastAsia="华文楷体"/>
          <w:b/>
          <w:sz w:val="28"/>
          <w:szCs w:val="28"/>
        </w:rPr>
        <w:t xml:space="preserve">                  </w:t>
      </w:r>
      <w:r>
        <w:rPr>
          <w:rFonts w:hint="eastAsia" w:ascii="华文楷体" w:hAnsi="华文楷体" w:eastAsia="华文楷体"/>
          <w:b/>
          <w:sz w:val="28"/>
          <w:szCs w:val="28"/>
        </w:rPr>
        <w:t>年</w:t>
      </w:r>
      <w:r>
        <w:rPr>
          <w:rFonts w:ascii="华文楷体" w:hAnsi="华文楷体" w:eastAsia="华文楷体"/>
          <w:b/>
          <w:sz w:val="28"/>
          <w:szCs w:val="28"/>
        </w:rPr>
        <w:t xml:space="preserve"> </w:t>
      </w:r>
      <w:r>
        <w:rPr>
          <w:rFonts w:hint="eastAsia" w:ascii="华文楷体" w:hAnsi="华文楷体" w:eastAsia="华文楷体"/>
          <w:b/>
          <w:sz w:val="28"/>
          <w:szCs w:val="28"/>
        </w:rPr>
        <w:t>月</w:t>
      </w:r>
      <w:r>
        <w:rPr>
          <w:rFonts w:ascii="华文楷体" w:hAnsi="华文楷体" w:eastAsia="华文楷体"/>
          <w:b/>
          <w:sz w:val="28"/>
          <w:szCs w:val="28"/>
        </w:rPr>
        <w:t xml:space="preserve">  </w:t>
      </w:r>
      <w:r>
        <w:rPr>
          <w:rFonts w:hint="eastAsia" w:ascii="华文楷体" w:hAnsi="华文楷体" w:eastAsia="华文楷体"/>
          <w:b/>
          <w:sz w:val="28"/>
          <w:szCs w:val="28"/>
        </w:rPr>
        <w:t>日</w:t>
      </w:r>
    </w:p>
    <w:tbl>
      <w:tblPr>
        <w:tblStyle w:val="11"/>
        <w:tblW w:w="13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86"/>
        <w:gridCol w:w="1240"/>
        <w:gridCol w:w="720"/>
        <w:gridCol w:w="3350"/>
        <w:gridCol w:w="2410"/>
        <w:gridCol w:w="4394"/>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94" w:hRule="atLeast"/>
          <w:jc w:val="center"/>
        </w:trPr>
        <w:tc>
          <w:tcPr>
            <w:tcW w:w="786" w:type="dxa"/>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序号</w:t>
            </w:r>
          </w:p>
        </w:tc>
        <w:tc>
          <w:tcPr>
            <w:tcW w:w="1240" w:type="dxa"/>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姓</w:t>
            </w:r>
            <w:r>
              <w:rPr>
                <w:rFonts w:ascii="仿宋_GB2312" w:hAnsi="仿宋" w:eastAsia="仿宋_GB2312"/>
                <w:b/>
                <w:kern w:val="0"/>
                <w:sz w:val="28"/>
                <w:szCs w:val="28"/>
              </w:rPr>
              <w:t xml:space="preserve">  </w:t>
            </w:r>
            <w:r>
              <w:rPr>
                <w:rFonts w:hint="eastAsia" w:ascii="仿宋_GB2312" w:hAnsi="仿宋" w:eastAsia="仿宋_GB2312"/>
                <w:b/>
                <w:kern w:val="0"/>
                <w:sz w:val="28"/>
                <w:szCs w:val="28"/>
              </w:rPr>
              <w:t>名</w:t>
            </w:r>
          </w:p>
        </w:tc>
        <w:tc>
          <w:tcPr>
            <w:tcW w:w="720" w:type="dxa"/>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性别</w:t>
            </w:r>
          </w:p>
        </w:tc>
        <w:tc>
          <w:tcPr>
            <w:tcW w:w="3350" w:type="dxa"/>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身份证号</w:t>
            </w:r>
          </w:p>
        </w:tc>
        <w:tc>
          <w:tcPr>
            <w:tcW w:w="2410" w:type="dxa"/>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申报职称名称</w:t>
            </w:r>
          </w:p>
        </w:tc>
        <w:tc>
          <w:tcPr>
            <w:tcW w:w="4394" w:type="dxa"/>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工作单位名称</w:t>
            </w:r>
          </w:p>
        </w:tc>
        <w:tc>
          <w:tcPr>
            <w:tcW w:w="1080" w:type="dxa"/>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5" w:hRule="atLeast"/>
          <w:jc w:val="center"/>
        </w:trPr>
        <w:tc>
          <w:tcPr>
            <w:tcW w:w="786" w:type="dxa"/>
            <w:vAlign w:val="top"/>
          </w:tcPr>
          <w:p>
            <w:pPr>
              <w:spacing w:line="360" w:lineRule="exact"/>
              <w:rPr>
                <w:rFonts w:ascii="仿宋" w:hAnsi="仿宋" w:eastAsia="仿宋"/>
                <w:kern w:val="0"/>
                <w:sz w:val="20"/>
                <w:szCs w:val="21"/>
              </w:rPr>
            </w:pPr>
          </w:p>
        </w:tc>
        <w:tc>
          <w:tcPr>
            <w:tcW w:w="1240" w:type="dxa"/>
            <w:vAlign w:val="top"/>
          </w:tcPr>
          <w:p>
            <w:pPr>
              <w:spacing w:line="360" w:lineRule="exact"/>
              <w:rPr>
                <w:rFonts w:ascii="仿宋" w:hAnsi="仿宋" w:eastAsia="仿宋"/>
                <w:kern w:val="0"/>
                <w:sz w:val="20"/>
                <w:szCs w:val="21"/>
              </w:rPr>
            </w:pPr>
          </w:p>
        </w:tc>
        <w:tc>
          <w:tcPr>
            <w:tcW w:w="720" w:type="dxa"/>
            <w:vAlign w:val="top"/>
          </w:tcPr>
          <w:p>
            <w:pPr>
              <w:spacing w:line="360" w:lineRule="exact"/>
              <w:rPr>
                <w:rFonts w:ascii="仿宋" w:hAnsi="仿宋" w:eastAsia="仿宋"/>
                <w:kern w:val="0"/>
                <w:sz w:val="20"/>
                <w:szCs w:val="21"/>
              </w:rPr>
            </w:pPr>
          </w:p>
        </w:tc>
        <w:tc>
          <w:tcPr>
            <w:tcW w:w="3350" w:type="dxa"/>
            <w:vAlign w:val="top"/>
          </w:tcPr>
          <w:p>
            <w:pPr>
              <w:spacing w:line="360" w:lineRule="exact"/>
              <w:rPr>
                <w:rFonts w:ascii="仿宋" w:hAnsi="仿宋" w:eastAsia="仿宋"/>
                <w:kern w:val="0"/>
                <w:sz w:val="20"/>
                <w:szCs w:val="21"/>
              </w:rPr>
            </w:pPr>
          </w:p>
        </w:tc>
        <w:tc>
          <w:tcPr>
            <w:tcW w:w="2410" w:type="dxa"/>
            <w:vAlign w:val="top"/>
          </w:tcPr>
          <w:p>
            <w:pPr>
              <w:spacing w:line="360" w:lineRule="exact"/>
              <w:rPr>
                <w:rFonts w:ascii="仿宋" w:hAnsi="仿宋" w:eastAsia="仿宋"/>
                <w:kern w:val="0"/>
                <w:sz w:val="20"/>
                <w:szCs w:val="21"/>
              </w:rPr>
            </w:pPr>
          </w:p>
        </w:tc>
        <w:tc>
          <w:tcPr>
            <w:tcW w:w="4394" w:type="dxa"/>
            <w:vAlign w:val="top"/>
          </w:tcPr>
          <w:p>
            <w:pPr>
              <w:spacing w:line="360" w:lineRule="exact"/>
              <w:rPr>
                <w:rFonts w:ascii="仿宋" w:hAnsi="仿宋" w:eastAsia="仿宋"/>
                <w:kern w:val="0"/>
                <w:sz w:val="20"/>
                <w:szCs w:val="21"/>
              </w:rPr>
            </w:pPr>
          </w:p>
        </w:tc>
        <w:tc>
          <w:tcPr>
            <w:tcW w:w="1080" w:type="dxa"/>
            <w:vAlign w:val="top"/>
          </w:tcPr>
          <w:p>
            <w:pPr>
              <w:spacing w:line="360" w:lineRule="exact"/>
              <w:rPr>
                <w:rFonts w:ascii="仿宋" w:hAnsi="仿宋" w:eastAsia="仿宋"/>
                <w:kern w:val="0"/>
                <w:sz w:val="20"/>
                <w:szCs w:val="21"/>
              </w:rPr>
            </w:pPr>
          </w:p>
        </w:tc>
      </w:tr>
    </w:tbl>
    <w:p>
      <w:pPr>
        <w:adjustRightInd w:val="0"/>
        <w:snapToGrid w:val="0"/>
        <w:spacing w:line="260" w:lineRule="exact"/>
        <w:ind w:firstLine="31680" w:firstLineChars="100"/>
        <w:rPr>
          <w:rFonts w:ascii="仿宋" w:hAnsi="仿宋" w:eastAsia="仿宋"/>
          <w:bCs/>
          <w:sz w:val="24"/>
        </w:rPr>
      </w:pPr>
      <w:r>
        <w:rPr>
          <w:rFonts w:hint="eastAsia" w:ascii="黑体" w:hAnsi="黑体" w:eastAsia="黑体"/>
          <w:bCs/>
          <w:sz w:val="24"/>
        </w:rPr>
        <w:t>注：</w:t>
      </w:r>
      <w:r>
        <w:rPr>
          <w:rFonts w:ascii="仿宋" w:hAnsi="仿宋" w:eastAsia="仿宋"/>
          <w:bCs/>
          <w:sz w:val="24"/>
        </w:rPr>
        <w:t>1.</w:t>
      </w:r>
      <w:r>
        <w:rPr>
          <w:rFonts w:hint="eastAsia" w:ascii="仿宋" w:hAnsi="仿宋" w:eastAsia="仿宋"/>
          <w:bCs/>
          <w:sz w:val="24"/>
        </w:rPr>
        <w:t>“主管部门、经办人、联系电话、年月日”等信息要填写齐全，人数较多时自行附页；</w:t>
      </w:r>
    </w:p>
    <w:p>
      <w:pPr>
        <w:adjustRightInd w:val="0"/>
        <w:snapToGrid w:val="0"/>
        <w:spacing w:line="260" w:lineRule="exact"/>
        <w:ind w:firstLine="31680" w:firstLineChars="300"/>
        <w:rPr>
          <w:rFonts w:ascii="仿宋" w:hAnsi="仿宋" w:eastAsia="仿宋"/>
          <w:bCs/>
          <w:sz w:val="24"/>
        </w:rPr>
      </w:pPr>
      <w:r>
        <w:rPr>
          <w:rFonts w:ascii="仿宋" w:hAnsi="仿宋" w:eastAsia="仿宋"/>
          <w:bCs/>
          <w:sz w:val="24"/>
        </w:rPr>
        <w:t>2.</w:t>
      </w:r>
      <w:r>
        <w:rPr>
          <w:rFonts w:hint="eastAsia" w:ascii="仿宋" w:hAnsi="仿宋" w:eastAsia="仿宋"/>
          <w:bCs/>
          <w:sz w:val="24"/>
        </w:rPr>
        <w:t>“申报职称名称”必须填写具体名称，如“主任医师、高级工程师”等，</w:t>
      </w:r>
      <w:r>
        <w:rPr>
          <w:rFonts w:hint="eastAsia" w:ascii="黑体" w:hAnsi="黑体" w:eastAsia="黑体"/>
          <w:b/>
          <w:bCs/>
          <w:sz w:val="24"/>
        </w:rPr>
        <w:t>不得填写</w:t>
      </w:r>
      <w:r>
        <w:rPr>
          <w:rFonts w:hint="eastAsia" w:ascii="仿宋" w:hAnsi="仿宋" w:eastAsia="仿宋"/>
          <w:bCs/>
          <w:sz w:val="24"/>
        </w:rPr>
        <w:t>“</w:t>
      </w:r>
      <w:r>
        <w:rPr>
          <w:rFonts w:hint="eastAsia" w:ascii="黑体" w:hAnsi="黑体" w:eastAsia="黑体"/>
          <w:b/>
          <w:bCs/>
          <w:sz w:val="24"/>
        </w:rPr>
        <w:t>高级、副高、正高</w:t>
      </w:r>
      <w:r>
        <w:rPr>
          <w:rFonts w:hint="eastAsia" w:ascii="仿宋" w:hAnsi="仿宋" w:eastAsia="仿宋"/>
          <w:bCs/>
          <w:sz w:val="24"/>
        </w:rPr>
        <w:t>”等；</w:t>
      </w:r>
    </w:p>
    <w:p>
      <w:pPr>
        <w:adjustRightInd w:val="0"/>
        <w:snapToGrid w:val="0"/>
        <w:spacing w:line="260" w:lineRule="exact"/>
        <w:ind w:firstLine="31680" w:firstLineChars="300"/>
        <w:rPr>
          <w:rFonts w:ascii="仿宋" w:hAnsi="仿宋" w:eastAsia="仿宋"/>
          <w:bCs/>
          <w:sz w:val="24"/>
        </w:rPr>
      </w:pPr>
      <w:r>
        <w:rPr>
          <w:rFonts w:ascii="仿宋" w:hAnsi="仿宋" w:eastAsia="仿宋"/>
          <w:bCs/>
          <w:sz w:val="24"/>
        </w:rPr>
        <w:t>3.</w:t>
      </w:r>
      <w:r>
        <w:rPr>
          <w:rFonts w:hint="eastAsia" w:ascii="仿宋" w:hAnsi="仿宋" w:eastAsia="仿宋"/>
          <w:bCs/>
          <w:sz w:val="24"/>
        </w:rPr>
        <w:t>“工作单位名称”字数较多时应缩写。</w:t>
      </w:r>
    </w:p>
    <w:p>
      <w:pPr>
        <w:spacing w:line="400" w:lineRule="exact"/>
        <w:rPr>
          <w:rFonts w:ascii="仿宋" w:hAnsi="仿宋" w:eastAsia="仿宋"/>
          <w:bCs/>
          <w:sz w:val="24"/>
        </w:rPr>
        <w:sectPr>
          <w:pgSz w:w="16838" w:h="11906" w:orient="landscape"/>
          <w:pgMar w:top="1474" w:right="1985" w:bottom="1588" w:left="2098" w:header="851" w:footer="992" w:gutter="0"/>
          <w:cols w:space="720" w:num="1"/>
          <w:docGrid w:type="linesAndChars" w:linePitch="312" w:charSpace="0"/>
        </w:sectPr>
      </w:pPr>
    </w:p>
    <w:p>
      <w:pPr>
        <w:spacing w:line="400" w:lineRule="exact"/>
        <w:rPr>
          <w:rFonts w:ascii="黑体" w:hAnsi="黑体" w:eastAsia="黑体"/>
          <w:bCs/>
          <w:spacing w:val="-10"/>
          <w:sz w:val="32"/>
          <w:szCs w:val="32"/>
        </w:rPr>
      </w:pPr>
      <w:r>
        <w:rPr>
          <w:rFonts w:hint="eastAsia" w:ascii="黑体" w:hAnsi="黑体" w:eastAsia="黑体"/>
          <w:bCs/>
          <w:spacing w:val="-10"/>
          <w:sz w:val="32"/>
          <w:szCs w:val="32"/>
        </w:rPr>
        <w:t>附件</w:t>
      </w:r>
      <w:r>
        <w:rPr>
          <w:rFonts w:ascii="黑体" w:hAnsi="黑体" w:eastAsia="黑体"/>
          <w:bCs/>
          <w:spacing w:val="-10"/>
          <w:sz w:val="32"/>
          <w:szCs w:val="32"/>
        </w:rPr>
        <w:t>3</w:t>
      </w:r>
    </w:p>
    <w:p>
      <w:pPr>
        <w:adjustRightInd w:val="0"/>
        <w:snapToGrid w:val="0"/>
        <w:jc w:val="center"/>
        <w:rPr>
          <w:rFonts w:ascii="方正小标宋简体" w:hAnsi="黑体" w:eastAsia="方正小标宋简体" w:cs="黑体"/>
          <w:sz w:val="44"/>
          <w:szCs w:val="44"/>
        </w:rPr>
      </w:pPr>
      <w:r>
        <w:rPr>
          <w:rFonts w:ascii="方正小标宋简体" w:hAnsi="黑体" w:eastAsia="方正小标宋简体" w:cs="黑体"/>
          <w:sz w:val="44"/>
          <w:szCs w:val="44"/>
        </w:rPr>
        <w:t>2017</w:t>
      </w:r>
      <w:r>
        <w:rPr>
          <w:rFonts w:hint="eastAsia" w:ascii="方正小标宋简体" w:hAnsi="黑体" w:eastAsia="方正小标宋简体" w:cs="黑体"/>
          <w:sz w:val="44"/>
          <w:szCs w:val="44"/>
        </w:rPr>
        <w:t>年专技人员继续教育学分审验汇总表</w:t>
      </w:r>
    </w:p>
    <w:p>
      <w:pPr>
        <w:adjustRightInd w:val="0"/>
        <w:snapToGrid w:val="0"/>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（初、中级）</w:t>
      </w:r>
    </w:p>
    <w:tbl>
      <w:tblPr>
        <w:tblStyle w:val="11"/>
        <w:tblW w:w="95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720"/>
        <w:gridCol w:w="1240"/>
        <w:gridCol w:w="720"/>
        <w:gridCol w:w="1820"/>
        <w:gridCol w:w="396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9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序号</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姓</w:t>
            </w:r>
            <w:r>
              <w:rPr>
                <w:rFonts w:ascii="仿宋_GB2312" w:hAnsi="仿宋" w:eastAsia="仿宋_GB2312"/>
                <w:b/>
                <w:kern w:val="0"/>
                <w:sz w:val="28"/>
                <w:szCs w:val="28"/>
              </w:rPr>
              <w:t xml:space="preserve">  </w:t>
            </w:r>
            <w:r>
              <w:rPr>
                <w:rFonts w:hint="eastAsia" w:ascii="仿宋_GB2312" w:hAnsi="仿宋" w:eastAsia="仿宋_GB2312"/>
                <w:b/>
                <w:kern w:val="0"/>
                <w:sz w:val="28"/>
                <w:szCs w:val="28"/>
              </w:rPr>
              <w:t>名</w:t>
            </w:r>
          </w:p>
        </w:tc>
        <w:tc>
          <w:tcPr>
            <w:tcW w:w="7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性别</w:t>
            </w:r>
          </w:p>
        </w:tc>
        <w:tc>
          <w:tcPr>
            <w:tcW w:w="182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spacing w:val="-20"/>
                <w:kern w:val="0"/>
                <w:sz w:val="28"/>
                <w:szCs w:val="28"/>
              </w:rPr>
            </w:pPr>
            <w:r>
              <w:rPr>
                <w:rFonts w:hint="eastAsia" w:ascii="仿宋_GB2312" w:hAnsi="仿宋" w:eastAsia="仿宋_GB2312"/>
                <w:b/>
                <w:spacing w:val="-20"/>
                <w:kern w:val="0"/>
                <w:sz w:val="28"/>
                <w:szCs w:val="28"/>
              </w:rPr>
              <w:t>拟晋职称名称</w:t>
            </w:r>
          </w:p>
        </w:tc>
        <w:tc>
          <w:tcPr>
            <w:tcW w:w="396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工作单位名称</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仿宋" w:eastAsia="仿宋_GB2312"/>
                <w:b/>
                <w:kern w:val="0"/>
                <w:sz w:val="28"/>
                <w:szCs w:val="28"/>
              </w:rPr>
            </w:pPr>
            <w:r>
              <w:rPr>
                <w:rFonts w:hint="eastAsia" w:ascii="仿宋_GB2312" w:hAnsi="仿宋" w:eastAsia="仿宋_GB2312"/>
                <w:b/>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5" w:hRule="atLeast"/>
          <w:jc w:val="center"/>
        </w:trPr>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24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7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82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396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c>
          <w:tcPr>
            <w:tcW w:w="1080" w:type="dxa"/>
            <w:tcBorders>
              <w:top w:val="single" w:color="auto" w:sz="4" w:space="0"/>
              <w:left w:val="single" w:color="auto" w:sz="4" w:space="0"/>
              <w:bottom w:val="single" w:color="auto" w:sz="4" w:space="0"/>
              <w:right w:val="single" w:color="auto" w:sz="4" w:space="0"/>
            </w:tcBorders>
            <w:vAlign w:val="top"/>
          </w:tcPr>
          <w:p>
            <w:pPr>
              <w:spacing w:line="360" w:lineRule="exact"/>
              <w:rPr>
                <w:rFonts w:ascii="仿宋" w:hAnsi="仿宋" w:eastAsia="仿宋"/>
                <w:kern w:val="0"/>
                <w:sz w:val="20"/>
                <w:szCs w:val="21"/>
              </w:rPr>
            </w:pPr>
          </w:p>
        </w:tc>
      </w:tr>
    </w:tbl>
    <w:p>
      <w:pPr>
        <w:spacing w:line="360" w:lineRule="exact"/>
        <w:rPr>
          <w:rFonts w:ascii="仿宋_GB2312" w:hAnsi="仿宋" w:eastAsia="仿宋_GB2312"/>
          <w:b/>
          <w:sz w:val="28"/>
          <w:szCs w:val="28"/>
        </w:rPr>
      </w:pPr>
      <w:r>
        <w:rPr>
          <w:rFonts w:hint="eastAsia" w:ascii="仿宋_GB2312" w:hAnsi="仿宋" w:eastAsia="仿宋_GB2312"/>
          <w:b/>
          <w:sz w:val="28"/>
          <w:szCs w:val="28"/>
        </w:rPr>
        <w:t>经办人：</w:t>
      </w:r>
      <w:r>
        <w:rPr>
          <w:rFonts w:ascii="仿宋_GB2312" w:hAnsi="仿宋" w:eastAsia="仿宋_GB2312"/>
          <w:b/>
          <w:sz w:val="28"/>
          <w:szCs w:val="28"/>
        </w:rPr>
        <w:t xml:space="preserve">                               </w:t>
      </w:r>
      <w:r>
        <w:rPr>
          <w:rFonts w:hint="eastAsia" w:ascii="仿宋_GB2312" w:hAnsi="仿宋" w:eastAsia="仿宋_GB2312"/>
          <w:b/>
          <w:sz w:val="28"/>
          <w:szCs w:val="28"/>
        </w:rPr>
        <w:t>联系电话：</w:t>
      </w:r>
    </w:p>
    <w:sectPr>
      <w:pgSz w:w="11906" w:h="16838"/>
      <w:pgMar w:top="2098" w:right="1474" w:bottom="1985"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方正小标宋_GBK">
    <w:panose1 w:val="03000509000000000000"/>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方正小标宋简体">
    <w:altName w:val="宋体-方正超大字符集"/>
    <w:panose1 w:val="00000000000000000000"/>
    <w:charset w:val="86"/>
    <w:family w:val="auto"/>
    <w:pitch w:val="default"/>
    <w:sig w:usb0="00000001" w:usb1="080E0000" w:usb2="00000010" w:usb3="00000000" w:csb0="00040000" w:csb1="00000000"/>
  </w:font>
  <w:font w:name="华文楷体">
    <w:altName w:val="楷体_GB2312"/>
    <w:panose1 w:val="00000000000000000000"/>
    <w:charset w:val="86"/>
    <w:family w:val="auto"/>
    <w:pitch w:val="default"/>
    <w:sig w:usb0="00000287" w:usb1="080E0000" w:usb2="00000010" w:usb3="00000000" w:csb0="0004009F" w:csb1="00000000"/>
  </w:font>
  <w:font w:name="宋体-方正超大字符集">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t>-</w:t>
    </w:r>
    <w:r>
      <w:fldChar w:fldCharType="begin"/>
    </w:r>
    <w:r>
      <w:instrText xml:space="preserve"> PAGE   \* MERGEFORMAT </w:instrText>
    </w:r>
    <w:r>
      <w:fldChar w:fldCharType="separate"/>
    </w:r>
    <w:r>
      <w:rPr>
        <w:lang w:val="zh-CN"/>
      </w:rPr>
      <w:t>3</w:t>
    </w:r>
    <w:r>
      <w:rPr>
        <w:lang w:val="zh-CN"/>
      </w:rPr>
      <w:fldChar w:fldCharType="end"/>
    </w:r>
    <w:r>
      <w:t>-</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B2567E"/>
    <w:rsid w:val="000001F4"/>
    <w:rsid w:val="00003B19"/>
    <w:rsid w:val="000108BF"/>
    <w:rsid w:val="00031BA9"/>
    <w:rsid w:val="00042DC5"/>
    <w:rsid w:val="000702D9"/>
    <w:rsid w:val="000851FF"/>
    <w:rsid w:val="000A71D4"/>
    <w:rsid w:val="000D0BEF"/>
    <w:rsid w:val="000D5F60"/>
    <w:rsid w:val="001041FE"/>
    <w:rsid w:val="00126278"/>
    <w:rsid w:val="00133D52"/>
    <w:rsid w:val="0013604A"/>
    <w:rsid w:val="00150D0D"/>
    <w:rsid w:val="00150E1D"/>
    <w:rsid w:val="0016134D"/>
    <w:rsid w:val="001658C1"/>
    <w:rsid w:val="00182C2F"/>
    <w:rsid w:val="00191728"/>
    <w:rsid w:val="001A6D1F"/>
    <w:rsid w:val="001D2763"/>
    <w:rsid w:val="001D73A7"/>
    <w:rsid w:val="001E708E"/>
    <w:rsid w:val="001F47C0"/>
    <w:rsid w:val="00216698"/>
    <w:rsid w:val="00216823"/>
    <w:rsid w:val="00217FB0"/>
    <w:rsid w:val="002205EF"/>
    <w:rsid w:val="00240BE9"/>
    <w:rsid w:val="00267241"/>
    <w:rsid w:val="00271DE6"/>
    <w:rsid w:val="00272D28"/>
    <w:rsid w:val="00274DB5"/>
    <w:rsid w:val="002766C4"/>
    <w:rsid w:val="00276BD0"/>
    <w:rsid w:val="00293CB6"/>
    <w:rsid w:val="002A4551"/>
    <w:rsid w:val="002A72E7"/>
    <w:rsid w:val="002B2CC8"/>
    <w:rsid w:val="002D2503"/>
    <w:rsid w:val="002E27E1"/>
    <w:rsid w:val="002F00CF"/>
    <w:rsid w:val="00347D44"/>
    <w:rsid w:val="00350AB1"/>
    <w:rsid w:val="003619DC"/>
    <w:rsid w:val="003646AC"/>
    <w:rsid w:val="00365723"/>
    <w:rsid w:val="00381F98"/>
    <w:rsid w:val="0039424E"/>
    <w:rsid w:val="00397AD3"/>
    <w:rsid w:val="003A680E"/>
    <w:rsid w:val="003A78E4"/>
    <w:rsid w:val="003B36CF"/>
    <w:rsid w:val="003B4D28"/>
    <w:rsid w:val="003C5122"/>
    <w:rsid w:val="003C7F25"/>
    <w:rsid w:val="003E2F51"/>
    <w:rsid w:val="003F1F52"/>
    <w:rsid w:val="00401FDB"/>
    <w:rsid w:val="00407DBF"/>
    <w:rsid w:val="004264A3"/>
    <w:rsid w:val="004324A6"/>
    <w:rsid w:val="004339E0"/>
    <w:rsid w:val="0047109B"/>
    <w:rsid w:val="00472167"/>
    <w:rsid w:val="004867C1"/>
    <w:rsid w:val="0049640E"/>
    <w:rsid w:val="004A049A"/>
    <w:rsid w:val="004A6347"/>
    <w:rsid w:val="004C58C8"/>
    <w:rsid w:val="004E48FE"/>
    <w:rsid w:val="00525797"/>
    <w:rsid w:val="00540020"/>
    <w:rsid w:val="00543503"/>
    <w:rsid w:val="0054461A"/>
    <w:rsid w:val="005514A1"/>
    <w:rsid w:val="00551DCE"/>
    <w:rsid w:val="00565D14"/>
    <w:rsid w:val="00570A17"/>
    <w:rsid w:val="00577414"/>
    <w:rsid w:val="005A3ACB"/>
    <w:rsid w:val="005A6ECA"/>
    <w:rsid w:val="005C62AD"/>
    <w:rsid w:val="005C6EA1"/>
    <w:rsid w:val="005D0784"/>
    <w:rsid w:val="005D234E"/>
    <w:rsid w:val="005F099E"/>
    <w:rsid w:val="005F7949"/>
    <w:rsid w:val="005F7FF8"/>
    <w:rsid w:val="0063070C"/>
    <w:rsid w:val="00640DC8"/>
    <w:rsid w:val="006411A3"/>
    <w:rsid w:val="00654457"/>
    <w:rsid w:val="006549B4"/>
    <w:rsid w:val="006600D3"/>
    <w:rsid w:val="00691CA1"/>
    <w:rsid w:val="0069674D"/>
    <w:rsid w:val="00697653"/>
    <w:rsid w:val="006C2AC9"/>
    <w:rsid w:val="006C4531"/>
    <w:rsid w:val="006C70D4"/>
    <w:rsid w:val="006C746D"/>
    <w:rsid w:val="0070426D"/>
    <w:rsid w:val="00717C86"/>
    <w:rsid w:val="00745666"/>
    <w:rsid w:val="007514C3"/>
    <w:rsid w:val="00771EAD"/>
    <w:rsid w:val="0079648C"/>
    <w:rsid w:val="007A3CCC"/>
    <w:rsid w:val="007B674C"/>
    <w:rsid w:val="007C5910"/>
    <w:rsid w:val="007D202D"/>
    <w:rsid w:val="007D20B9"/>
    <w:rsid w:val="007E5EA7"/>
    <w:rsid w:val="007F3CD6"/>
    <w:rsid w:val="007F4664"/>
    <w:rsid w:val="00817F27"/>
    <w:rsid w:val="00830F14"/>
    <w:rsid w:val="00852B7F"/>
    <w:rsid w:val="00887234"/>
    <w:rsid w:val="00890B47"/>
    <w:rsid w:val="00897EFE"/>
    <w:rsid w:val="008C2082"/>
    <w:rsid w:val="008D691E"/>
    <w:rsid w:val="008F09C3"/>
    <w:rsid w:val="0091100C"/>
    <w:rsid w:val="009331B8"/>
    <w:rsid w:val="00936870"/>
    <w:rsid w:val="00944E25"/>
    <w:rsid w:val="00953DB7"/>
    <w:rsid w:val="00977528"/>
    <w:rsid w:val="009801E7"/>
    <w:rsid w:val="00993BF9"/>
    <w:rsid w:val="009B428B"/>
    <w:rsid w:val="009B4BA4"/>
    <w:rsid w:val="009B5313"/>
    <w:rsid w:val="009B6341"/>
    <w:rsid w:val="009D5AAA"/>
    <w:rsid w:val="009D6C20"/>
    <w:rsid w:val="009E0E5A"/>
    <w:rsid w:val="009F0E24"/>
    <w:rsid w:val="009F2B1A"/>
    <w:rsid w:val="00A02F78"/>
    <w:rsid w:val="00A10F49"/>
    <w:rsid w:val="00A25A5E"/>
    <w:rsid w:val="00A367F5"/>
    <w:rsid w:val="00A52C3F"/>
    <w:rsid w:val="00A60412"/>
    <w:rsid w:val="00A67918"/>
    <w:rsid w:val="00A75E88"/>
    <w:rsid w:val="00A95309"/>
    <w:rsid w:val="00A97408"/>
    <w:rsid w:val="00AA4879"/>
    <w:rsid w:val="00AA4E2E"/>
    <w:rsid w:val="00AB0659"/>
    <w:rsid w:val="00AD31A5"/>
    <w:rsid w:val="00AD5A96"/>
    <w:rsid w:val="00AD776C"/>
    <w:rsid w:val="00AF624A"/>
    <w:rsid w:val="00B2150A"/>
    <w:rsid w:val="00B24F21"/>
    <w:rsid w:val="00B2567E"/>
    <w:rsid w:val="00B44B6C"/>
    <w:rsid w:val="00B53238"/>
    <w:rsid w:val="00B703A7"/>
    <w:rsid w:val="00B73031"/>
    <w:rsid w:val="00B74B18"/>
    <w:rsid w:val="00B87DDC"/>
    <w:rsid w:val="00B91F03"/>
    <w:rsid w:val="00B93F42"/>
    <w:rsid w:val="00B94588"/>
    <w:rsid w:val="00BB1C15"/>
    <w:rsid w:val="00BC6E42"/>
    <w:rsid w:val="00BF544B"/>
    <w:rsid w:val="00C0173E"/>
    <w:rsid w:val="00C04361"/>
    <w:rsid w:val="00C15614"/>
    <w:rsid w:val="00C17B13"/>
    <w:rsid w:val="00C43F6E"/>
    <w:rsid w:val="00C45296"/>
    <w:rsid w:val="00C563C5"/>
    <w:rsid w:val="00C60682"/>
    <w:rsid w:val="00CB52B7"/>
    <w:rsid w:val="00CC1590"/>
    <w:rsid w:val="00CC418D"/>
    <w:rsid w:val="00CE57A4"/>
    <w:rsid w:val="00D1152E"/>
    <w:rsid w:val="00D117AC"/>
    <w:rsid w:val="00D36AFD"/>
    <w:rsid w:val="00D52399"/>
    <w:rsid w:val="00D54D3F"/>
    <w:rsid w:val="00D71424"/>
    <w:rsid w:val="00D83795"/>
    <w:rsid w:val="00DA04F2"/>
    <w:rsid w:val="00DB4001"/>
    <w:rsid w:val="00DC6EA2"/>
    <w:rsid w:val="00DD07F5"/>
    <w:rsid w:val="00DD1D01"/>
    <w:rsid w:val="00DE0F64"/>
    <w:rsid w:val="00DE1B63"/>
    <w:rsid w:val="00DF56CE"/>
    <w:rsid w:val="00DF75A0"/>
    <w:rsid w:val="00E16F12"/>
    <w:rsid w:val="00E17E5B"/>
    <w:rsid w:val="00E22C1A"/>
    <w:rsid w:val="00E430CF"/>
    <w:rsid w:val="00E51719"/>
    <w:rsid w:val="00E540BD"/>
    <w:rsid w:val="00E66EAD"/>
    <w:rsid w:val="00E76373"/>
    <w:rsid w:val="00E86B3C"/>
    <w:rsid w:val="00EC4109"/>
    <w:rsid w:val="00EE0E78"/>
    <w:rsid w:val="00EE4143"/>
    <w:rsid w:val="00EE646D"/>
    <w:rsid w:val="00EF5209"/>
    <w:rsid w:val="00F30592"/>
    <w:rsid w:val="00F435D6"/>
    <w:rsid w:val="00F504BE"/>
    <w:rsid w:val="00F5198B"/>
    <w:rsid w:val="00F6342C"/>
    <w:rsid w:val="00F8547A"/>
    <w:rsid w:val="00FA0E76"/>
    <w:rsid w:val="00FA3942"/>
    <w:rsid w:val="00FA5656"/>
    <w:rsid w:val="00FB0003"/>
    <w:rsid w:val="00FB51EC"/>
    <w:rsid w:val="00FC4337"/>
    <w:rsid w:val="00FE7A51"/>
    <w:rsid w:val="00FF656C"/>
    <w:rsid w:val="00FF77BE"/>
    <w:rsid w:val="0A3858E0"/>
    <w:rsid w:val="12B02035"/>
    <w:rsid w:val="143E713B"/>
    <w:rsid w:val="15DB3EF8"/>
    <w:rsid w:val="199C1A01"/>
    <w:rsid w:val="1F172FD4"/>
    <w:rsid w:val="348B5B51"/>
    <w:rsid w:val="36435040"/>
    <w:rsid w:val="3A5469D5"/>
    <w:rsid w:val="40314A96"/>
    <w:rsid w:val="421978A4"/>
    <w:rsid w:val="54B735FF"/>
    <w:rsid w:val="54DC0719"/>
    <w:rsid w:val="5AF85B3E"/>
    <w:rsid w:val="5F1971BE"/>
    <w:rsid w:val="644262B1"/>
    <w:rsid w:val="65980A49"/>
    <w:rsid w:val="66330FDF"/>
    <w:rsid w:val="6E4E26BE"/>
    <w:rsid w:val="724538A7"/>
    <w:rsid w:val="77A1386C"/>
    <w:rsid w:val="79ED65C6"/>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ocked="1"/>
    <w:lsdException w:uiPriority="0" w:name="footnote text" w:locked="1"/>
    <w:lsdException w:unhideWhenUsed="0" w:uiPriority="99" w:name="annotation text"/>
    <w:lsdException w:unhideWhenUsed="0" w:uiPriority="99" w:semiHidden="0" w:name="header"/>
    <w:lsdException w:unhideWhenUsed="0" w:uiPriority="99" w:semiHidden="0" w:name="footer"/>
    <w:lsdException w:uiPriority="0" w:name="index heading" w:locked="1"/>
    <w:lsdException w:qFormat="1" w:uiPriority="35" w:name="caption" w:locked="1"/>
    <w:lsdException w:uiPriority="0" w:name="table of figures" w:locked="1"/>
    <w:lsdException w:uiPriority="0" w:name="envelope address" w:locked="1"/>
    <w:lsdException w:uiPriority="0" w:name="envelope return" w:locked="1"/>
    <w:lsdException w:uiPriority="0" w:name="footnote reference" w:locked="1"/>
    <w:lsdException w:unhideWhenUsed="0" w:uiPriority="99" w:name="annotation reference"/>
    <w:lsdException w:uiPriority="0" w:name="line number" w:locked="1"/>
    <w:lsdException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unhideWhenUsed="0" w:uiPriority="99"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nhideWhenUsed="0" w:uiPriority="99" w:semiHidden="0" w:name="Hyperlink"/>
    <w:lsdException w:uiPriority="0" w:name="FollowedHyperlink" w:locked="1"/>
    <w:lsdException w:qFormat="1" w:unhideWhenUsed="0" w:uiPriority="22" w:semiHidden="0" w:name="Strong" w:locked="1"/>
    <w:lsdException w:qFormat="1" w:unhideWhenUsed="0" w:uiPriority="2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unhideWhenUsed="0"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unhideWhenUsed="0" w:uiPriority="99" w:name="Balloon Text"/>
    <w:lsdException w:unhideWhenUsed="0" w:uiPriority="59"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iPriority w:val="99"/>
  </w:style>
  <w:style w:type="table" w:default="1" w:styleId="11">
    <w:name w:val="Normal Table"/>
    <w:unhideWhenUsed/>
    <w:qFormat/>
    <w:uiPriority w:val="99"/>
    <w:tblPr>
      <w:tblStyle w:val="11"/>
      <w:tblLayout w:type="fixed"/>
      <w:tblCellMar>
        <w:top w:w="0" w:type="dxa"/>
        <w:left w:w="108" w:type="dxa"/>
        <w:bottom w:w="0" w:type="dxa"/>
        <w:right w:w="108" w:type="dxa"/>
      </w:tblCellMar>
    </w:tblPr>
    <w:tcPr>
      <w:textDirection w:val="lrTb"/>
    </w:tcPr>
  </w:style>
  <w:style w:type="paragraph" w:styleId="2">
    <w:name w:val="annotation subject"/>
    <w:basedOn w:val="3"/>
    <w:next w:val="3"/>
    <w:link w:val="17"/>
    <w:semiHidden/>
    <w:uiPriority w:val="99"/>
    <w:rPr>
      <w:b/>
      <w:bCs/>
    </w:rPr>
  </w:style>
  <w:style w:type="paragraph" w:styleId="3">
    <w:name w:val="annotation text"/>
    <w:basedOn w:val="1"/>
    <w:link w:val="16"/>
    <w:semiHidden/>
    <w:uiPriority w:val="99"/>
    <w:pPr>
      <w:jc w:val="left"/>
    </w:pPr>
  </w:style>
  <w:style w:type="paragraph" w:styleId="4">
    <w:name w:val="Balloon Text"/>
    <w:basedOn w:val="1"/>
    <w:link w:val="18"/>
    <w:semiHidden/>
    <w:uiPriority w:val="99"/>
    <w:rPr>
      <w:sz w:val="18"/>
      <w:szCs w:val="18"/>
    </w:rPr>
  </w:style>
  <w:style w:type="paragraph" w:styleId="5">
    <w:name w:val="footer"/>
    <w:basedOn w:val="1"/>
    <w:link w:val="13"/>
    <w:uiPriority w:val="99"/>
    <w:pPr>
      <w:tabs>
        <w:tab w:val="center" w:pos="4153"/>
        <w:tab w:val="right" w:pos="8306"/>
      </w:tabs>
      <w:snapToGrid w:val="0"/>
      <w:jc w:val="left"/>
    </w:pPr>
    <w:rPr>
      <w:rFonts w:ascii="Calibri" w:hAnsi="Calibri" w:cs="黑体"/>
      <w:sz w:val="18"/>
      <w:szCs w:val="18"/>
    </w:rPr>
  </w:style>
  <w:style w:type="paragraph" w:styleId="6">
    <w:name w:val="header"/>
    <w:basedOn w:val="1"/>
    <w:link w:val="14"/>
    <w:uiPriority w:val="99"/>
    <w:pPr>
      <w:pBdr>
        <w:bottom w:val="single" w:color="auto" w:sz="6" w:space="1"/>
      </w:pBdr>
      <w:tabs>
        <w:tab w:val="center" w:pos="4153"/>
        <w:tab w:val="right" w:pos="8306"/>
      </w:tabs>
      <w:snapToGrid w:val="0"/>
      <w:jc w:val="center"/>
    </w:pPr>
    <w:rPr>
      <w:rFonts w:ascii="Calibri" w:hAnsi="Calibri" w:cs="黑体"/>
      <w:sz w:val="18"/>
      <w:szCs w:val="18"/>
    </w:rPr>
  </w:style>
  <w:style w:type="character" w:styleId="8">
    <w:name w:val="page number"/>
    <w:basedOn w:val="7"/>
    <w:uiPriority w:val="99"/>
    <w:rPr>
      <w:rFonts w:cs="Times New Roman"/>
    </w:rPr>
  </w:style>
  <w:style w:type="character" w:styleId="9">
    <w:name w:val="Hyperlink"/>
    <w:basedOn w:val="7"/>
    <w:uiPriority w:val="99"/>
    <w:rPr>
      <w:rFonts w:cs="Times New Roman"/>
      <w:color w:val="0000FF"/>
      <w:u w:val="single"/>
    </w:rPr>
  </w:style>
  <w:style w:type="character" w:styleId="10">
    <w:name w:val="annotation reference"/>
    <w:basedOn w:val="7"/>
    <w:semiHidden/>
    <w:uiPriority w:val="99"/>
    <w:rPr>
      <w:rFonts w:cs="Times New Roman"/>
      <w:sz w:val="21"/>
      <w:szCs w:val="21"/>
    </w:rPr>
  </w:style>
  <w:style w:type="paragraph" w:customStyle="1" w:styleId="12">
    <w:name w:val="Char Char Char Char Char1 Char Char Char Char Char Char Char"/>
    <w:basedOn w:val="1"/>
    <w:uiPriority w:val="99"/>
    <w:pPr>
      <w:tabs>
        <w:tab w:val="left" w:pos="850"/>
      </w:tabs>
      <w:spacing w:beforeLines="100" w:afterLines="100"/>
      <w:ind w:left="431" w:hanging="431"/>
    </w:pPr>
    <w:rPr>
      <w:sz w:val="24"/>
      <w:szCs w:val="24"/>
    </w:rPr>
  </w:style>
  <w:style w:type="character" w:customStyle="1" w:styleId="13">
    <w:name w:val="Footer Char"/>
    <w:basedOn w:val="7"/>
    <w:link w:val="5"/>
    <w:locked/>
    <w:uiPriority w:val="99"/>
    <w:rPr>
      <w:rFonts w:cs="Times New Roman"/>
      <w:sz w:val="18"/>
      <w:szCs w:val="18"/>
    </w:rPr>
  </w:style>
  <w:style w:type="character" w:customStyle="1" w:styleId="14">
    <w:name w:val="Header Char"/>
    <w:basedOn w:val="7"/>
    <w:link w:val="6"/>
    <w:semiHidden/>
    <w:locked/>
    <w:uiPriority w:val="99"/>
    <w:rPr>
      <w:rFonts w:cs="Times New Roman"/>
      <w:sz w:val="18"/>
      <w:szCs w:val="18"/>
    </w:rPr>
  </w:style>
  <w:style w:type="character" w:customStyle="1" w:styleId="15">
    <w:name w:val="editortmp"/>
    <w:basedOn w:val="7"/>
    <w:uiPriority w:val="99"/>
    <w:rPr>
      <w:rFonts w:cs="Times New Roman"/>
    </w:rPr>
  </w:style>
  <w:style w:type="character" w:customStyle="1" w:styleId="16">
    <w:name w:val="Comment Text Char"/>
    <w:basedOn w:val="7"/>
    <w:link w:val="3"/>
    <w:semiHidden/>
    <w:locked/>
    <w:uiPriority w:val="99"/>
    <w:rPr>
      <w:rFonts w:cs="Times New Roman"/>
      <w:sz w:val="20"/>
      <w:szCs w:val="20"/>
    </w:rPr>
  </w:style>
  <w:style w:type="character" w:customStyle="1" w:styleId="17">
    <w:name w:val="Comment Subject Char"/>
    <w:basedOn w:val="16"/>
    <w:link w:val="2"/>
    <w:semiHidden/>
    <w:locked/>
    <w:uiPriority w:val="99"/>
    <w:rPr>
      <w:b/>
      <w:bCs/>
    </w:rPr>
  </w:style>
  <w:style w:type="character" w:customStyle="1" w:styleId="18">
    <w:name w:val="Balloon Text Char"/>
    <w:basedOn w:val="7"/>
    <w:link w:val="4"/>
    <w:semiHidden/>
    <w:locked/>
    <w:uiPriority w:val="99"/>
    <w:rPr>
      <w:rFonts w:cs="Times New Roman"/>
      <w:sz w:val="2"/>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8</Pages>
  <Words>386</Words>
  <Characters>2201</Characters>
  <Lines>0</Lines>
  <Paragraphs>0</Paragraphs>
  <ScaleCrop>false</ScaleCrop>
  <LinksUpToDate>false</LinksUpToDate>
  <CharactersWithSpaces>0</CharactersWithSpaces>
  <Application>WPS Office 个人版_9.1.0.4883_{F1E327BC-269C-435d-A152-05C5408002CA}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2017-09-14T06:02:00Z</dcterms:created>
  <dc:creator>lenovo</dc:creator>
  <cp:lastModifiedBy>user</cp:lastModifiedBy>
  <cp:lastPrinted>2017-09-11T07:22:00Z</cp:lastPrinted>
  <dcterms:modified xsi:type="dcterms:W3CDTF">2017-09-14T09:19:13Z</dcterms:modified>
  <dc:title>青岛市卫生和计划生育委员会文件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2052-9.1.0.4883</vt:lpwstr>
  </property>
</Properties>
</file>