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t>　一、初级（士）考试专业</w:t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633720" cy="3842385"/>
            <wp:effectExtent l="0" t="0" r="508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3720" cy="3842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t>　　二、初级（师）考试专业</w:t>
      </w:r>
    </w:p>
    <w:p>
      <w:pPr>
        <w:pStyle w:val="2"/>
        <w:keepNext w:val="0"/>
        <w:keepLines w:val="0"/>
        <w:widowControl/>
        <w:suppressLineNumbers w:val="0"/>
      </w:pPr>
      <w:r>
        <w:t>　　</w:t>
      </w:r>
      <w:r>
        <w:drawing>
          <wp:inline distT="0" distB="0" distL="114300" distR="114300">
            <wp:extent cx="5569585" cy="5321300"/>
            <wp:effectExtent l="0" t="0" r="12065" b="1270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9585" cy="5321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t>　　三、中级考试专业</w:t>
      </w:r>
    </w:p>
    <w:tbl>
      <w:tblPr>
        <w:tblW w:w="7059" w:type="dxa"/>
        <w:jc w:val="center"/>
        <w:tblCellSpacing w:w="0" w:type="dxa"/>
        <w:tblInd w:w="639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333333" w:sz="6" w:space="0"/>
          <w:insideV w:val="outset" w:color="333333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0"/>
        <w:gridCol w:w="4199"/>
        <w:gridCol w:w="143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</w:tblPrEx>
        <w:trPr>
          <w:trHeight w:val="540" w:hRule="atLeast"/>
          <w:tblHeader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 业 名 称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考试方式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全科医学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全科医学（中医类）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心血管内科学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呼吸内科学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消化内科学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肾内科学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神经内科学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内分泌学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血液病学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结核病学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传染病学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风湿与临床免疫学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职业病学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中西医结合内科学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普通外科学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骨外科学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胸心外科学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神经外科学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泌尿外科学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小儿外科学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烧伤外科学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整形外科学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中医外科学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中西医结合外科学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中医肛肠科学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中医骨伤学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中西医结合骨伤科学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妇产科学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中医妇科学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眼科学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中医眼科学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耳鼻咽喉科学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中医耳鼻喉科学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皮肤与性病学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中医皮肤与性病学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精神病学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肿瘤内科学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肿瘤外科学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肿瘤放射治疗学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核医学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超声波医学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康复医学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推拿（按摩）学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病理学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临床医学检验学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口腔内科学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口腔颌面外科学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口腔修复学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口腔正畸学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疼痛学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重症医学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计划生育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疾病控制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公共卫生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职业卫生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妇幼保健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健康教育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纸笔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纸笔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内科护理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纸笔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外科护理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纸笔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妇产科护理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纸笔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儿科护理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纸笔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社区护理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纸笔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中医护理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放射医学技术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核医学技术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超声波医学技术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临床医学检验技术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病理学技术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bookmarkStart w:id="0" w:name="_GoBack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  <w:bookmarkEnd w:id="0"/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康复医学治疗技术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营养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理化检验技术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微生物检验技术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消毒技术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心理治疗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心电学技术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肿瘤放射治疗技术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病案信息技术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输血技术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333333" w:sz="6" w:space="0"/>
            <w:insideV w:val="outset" w:color="333333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4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神经电生理（脑电图）技术</w:t>
            </w:r>
          </w:p>
        </w:tc>
        <w:tc>
          <w:tcPr>
            <w:tcW w:w="14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人机对话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　　备注：具体专业考试形式以人社部办公厅下发的《关于2018年度卫生专业技术资格考试有关问题的通知》为准。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3B4A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2017-12-28T01:15:34Z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