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40" w:lineRule="atLeast"/>
        <w:ind w:left="0" w:firstLine="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3"/>
          <w:rFonts w:ascii="仿宋_GB2312" w:hAnsi="Tahoma" w:eastAsia="仿宋_GB2312" w:cs="仿宋_GB2312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岗位具体条件</w:t>
      </w:r>
    </w:p>
    <w:tbl>
      <w:tblPr>
        <w:tblW w:w="8521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5"/>
        <w:gridCol w:w="1526"/>
        <w:gridCol w:w="2046"/>
        <w:gridCol w:w="33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5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0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 业</w:t>
            </w:r>
          </w:p>
        </w:tc>
        <w:tc>
          <w:tcPr>
            <w:tcW w:w="33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具体要求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1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办公室宣传岗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中文、策划</w:t>
            </w:r>
          </w:p>
        </w:tc>
        <w:tc>
          <w:tcPr>
            <w:tcW w:w="3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本科学历，有较强的文字功底、摄影技术、电脑操作水平。男女不限。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E95D0B"/>
    <w:rsid w:val="63E95D0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2018-05-25T10:54:00Z</dcterms:created>
  <dc:creator>ASUS</dc:creator>
  <cp:lastModifiedBy>ASUS</cp:lastModifiedBy>
  <dcterms:modified xsi:type="dcterms:W3CDTF">2018-05-25T10:54:42Z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