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4" w:lineRule="exact"/>
        <w:ind w:left="0" w:leftChars="0" w:right="0" w:firstLine="0" w:firstLineChars="0"/>
        <w:jc w:val="both"/>
        <w:textAlignment w:val="auto"/>
        <w:outlineLvl w:val="9"/>
        <w:rPr>
          <w:rFonts w:hint="eastAsia" w:ascii="黑体" w:hAnsi="黑体" w:eastAsia="黑体" w:cs="黑体"/>
          <w:b w:val="0"/>
          <w:i w:val="0"/>
          <w:caps w:val="0"/>
          <w:color w:val="000000"/>
          <w:spacing w:val="0"/>
          <w:kern w:val="0"/>
          <w:sz w:val="32"/>
          <w:szCs w:val="32"/>
          <w:shd w:val="clear" w:color="auto" w:fill="FFFFFF"/>
          <w:lang w:val="en-US" w:eastAsia="zh-CN" w:bidi="ar"/>
        </w:rPr>
      </w:pPr>
      <w:r>
        <w:rPr>
          <w:rFonts w:hint="eastAsia" w:ascii="黑体" w:hAnsi="黑体" w:eastAsia="黑体" w:cs="黑体"/>
          <w:b w:val="0"/>
          <w:i w:val="0"/>
          <w:caps w:val="0"/>
          <w:color w:val="000000"/>
          <w:spacing w:val="0"/>
          <w:kern w:val="0"/>
          <w:sz w:val="32"/>
          <w:szCs w:val="32"/>
          <w:shd w:val="clear" w:color="auto" w:fill="FFFFFF"/>
          <w:lang w:val="en-US" w:eastAsia="zh-CN" w:bidi="ar"/>
        </w:rPr>
        <w:t>附件1</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4" w:lineRule="exact"/>
        <w:ind w:left="0" w:leftChars="0" w:right="0" w:firstLine="0" w:firstLineChars="0"/>
        <w:jc w:val="center"/>
        <w:textAlignment w:val="auto"/>
        <w:outlineLvl w:val="9"/>
        <w:rPr>
          <w:rFonts w:hint="eastAsia" w:ascii="方正小标宋简体" w:hAnsi="方正小标宋简体" w:eastAsia="方正小标宋简体" w:cs="方正小标宋简体"/>
          <w:b w:val="0"/>
          <w:i w:val="0"/>
          <w:caps w:val="0"/>
          <w:color w:val="000000"/>
          <w:spacing w:val="0"/>
          <w:kern w:val="0"/>
          <w:sz w:val="32"/>
          <w:szCs w:val="32"/>
          <w:shd w:val="clear" w:color="auto" w:fill="FFFFFF"/>
          <w:lang w:val="en-US" w:eastAsia="zh-CN" w:bidi="ar"/>
        </w:rPr>
      </w:pPr>
      <w:r>
        <w:rPr>
          <w:rFonts w:hint="eastAsia" w:ascii="方正小标宋简体" w:hAnsi="方正小标宋简体" w:eastAsia="方正小标宋简体" w:cs="方正小标宋简体"/>
          <w:b w:val="0"/>
          <w:bCs w:val="0"/>
          <w:i w:val="0"/>
          <w:caps w:val="0"/>
          <w:color w:val="000000"/>
          <w:spacing w:val="0"/>
          <w:kern w:val="0"/>
          <w:sz w:val="32"/>
          <w:szCs w:val="32"/>
          <w:shd w:val="clear" w:color="auto" w:fill="FFFFFF"/>
          <w:lang w:val="en-US" w:eastAsia="zh-CN" w:bidi="ar"/>
        </w:rPr>
        <w:t>医术专长填报说明</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4" w:lineRule="exact"/>
        <w:ind w:left="0" w:leftChars="0" w:right="0" w:firstLine="640" w:firstLineChars="200"/>
        <w:jc w:val="both"/>
        <w:textAlignment w:val="auto"/>
        <w:outlineLvl w:val="9"/>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4" w:lineRule="exact"/>
        <w:ind w:left="0" w:leftChars="0" w:right="0" w:firstLine="640" w:firstLineChars="200"/>
        <w:jc w:val="both"/>
        <w:textAlignment w:val="auto"/>
        <w:outlineLvl w:val="9"/>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
        </w:rPr>
        <w:t>医术专长包括申请考核人员所使用的中医药技术方法和擅长诊治的病证范围。使用的中医药技术方法和诊治的病证范围应为对应关系，即“使用××技术诊治××病证”。医术专长还应符合“方法独特、技术安全、疗效明显”标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4" w:lineRule="exact"/>
        <w:ind w:left="0" w:leftChars="0" w:right="0" w:firstLine="560"/>
        <w:jc w:val="both"/>
        <w:textAlignment w:val="auto"/>
        <w:outlineLvl w:val="9"/>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
        </w:rPr>
        <w:t>（一）关于填报病证范围和中医药技术方法。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4" w:lineRule="exact"/>
        <w:ind w:left="0" w:leftChars="0" w:right="0" w:firstLine="560"/>
        <w:jc w:val="both"/>
        <w:textAlignment w:val="auto"/>
        <w:outlineLvl w:val="9"/>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b w:val="0"/>
          <w:i w:val="0"/>
          <w:caps w:val="0"/>
          <w:color w:val="auto"/>
          <w:spacing w:val="0"/>
          <w:kern w:val="0"/>
          <w:sz w:val="32"/>
          <w:szCs w:val="32"/>
          <w:shd w:val="clear" w:color="auto" w:fill="FFFFFF"/>
          <w:lang w:val="en-US" w:eastAsia="zh-CN" w:bidi="ar"/>
        </w:rPr>
        <w:t>按照“中医药技术方法+中医疾病”模式确</w:t>
      </w:r>
      <w:r>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
        </w:rPr>
        <w:t>定申报的医术专长。中医疾病名称对照《中医疾病名称与分类代码表》（附件10）填写。中医药技术方法分内服方药、外治技术、内外兼有三类，仅限选填其中一类。选填“内服方药”或“内外兼有”类的申报者须列举常用的方剂名称，选填“外治技术”或“内外兼有”类的申报者须对照《中医医疗技术目录》（附件11），明确外治技术名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4" w:lineRule="exact"/>
        <w:ind w:left="0" w:leftChars="0" w:right="0" w:firstLine="560"/>
        <w:jc w:val="both"/>
        <w:textAlignment w:val="auto"/>
        <w:outlineLvl w:val="9"/>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
        </w:rPr>
        <w:t>（二）关于申报中医疾病、外治技术数量的规定。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4" w:lineRule="exact"/>
        <w:ind w:left="0" w:leftChars="0" w:right="0" w:firstLine="560"/>
        <w:jc w:val="both"/>
        <w:textAlignment w:val="auto"/>
        <w:outlineLvl w:val="9"/>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
        </w:rPr>
        <w:t>1.对照《中医疾病名称与分类代码表》（附件10），可申报不超过3个中医疾病。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4" w:lineRule="exact"/>
        <w:ind w:left="0" w:leftChars="0" w:right="0" w:firstLine="560"/>
        <w:jc w:val="both"/>
        <w:textAlignment w:val="auto"/>
        <w:outlineLvl w:val="9"/>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
        </w:rPr>
        <w:t>2.对照《中医医疗技术目录》（附件11），</w:t>
      </w:r>
      <w:r>
        <w:rPr>
          <w:rFonts w:hint="eastAsia" w:ascii="仿宋_GB2312" w:hAnsi="仿宋_GB2312" w:eastAsia="仿宋_GB2312" w:cs="仿宋_GB2312"/>
          <w:b w:val="0"/>
          <w:i w:val="0"/>
          <w:caps w:val="0"/>
          <w:color w:val="auto"/>
          <w:spacing w:val="0"/>
          <w:kern w:val="0"/>
          <w:sz w:val="32"/>
          <w:szCs w:val="32"/>
          <w:shd w:val="clear" w:color="auto" w:fill="FFFFFF"/>
          <w:lang w:val="en-US" w:eastAsia="zh-CN" w:bidi="ar"/>
        </w:rPr>
        <w:t>每种疾病</w:t>
      </w:r>
      <w:r>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
        </w:rPr>
        <w:t>可申报不超过3个外治技术。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4" w:lineRule="exact"/>
        <w:ind w:left="0" w:leftChars="0" w:right="0" w:firstLine="560"/>
        <w:jc w:val="both"/>
        <w:textAlignment w:val="auto"/>
        <w:outlineLvl w:val="9"/>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
        </w:rPr>
        <w:t>3.报考2个或2个以上中医疾病或外治技术，考核结论为综合评定结果，考核结论为合格者，表明所报的几个中医疾病或外治技术均合格；考核结论为不合格者，表明所报的几个中医疾病或外治技术均不合格，因此建议申报者根据自身掌握情况慎重填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4" w:lineRule="exact"/>
        <w:ind w:left="0" w:leftChars="0" w:right="0" w:firstLine="560"/>
        <w:jc w:val="both"/>
        <w:textAlignment w:val="auto"/>
        <w:outlineLvl w:val="9"/>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
        </w:rPr>
        <w:t>（三）医术专长填报举例。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4" w:lineRule="exact"/>
        <w:ind w:left="0" w:leftChars="0" w:right="0" w:firstLine="560"/>
        <w:jc w:val="both"/>
        <w:textAlignment w:val="auto"/>
        <w:outlineLvl w:val="9"/>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
        </w:rPr>
        <w:t>1. 填报中医疾病名称：对照《中医疾病名称与分类代码表》（附件10）填写。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4" w:lineRule="exact"/>
        <w:ind w:left="0" w:leftChars="0" w:right="0" w:firstLine="560"/>
        <w:jc w:val="both"/>
        <w:textAlignment w:val="auto"/>
        <w:outlineLvl w:val="9"/>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
        </w:rPr>
        <w:t>①选择填写某一个中医疾病。表示仅掌握某一病类下的某一个具体疾病。例如：选择填写“内科病（BN）”中“肺系病类（BNF）”下的“咯血病（BNF080）”，表示仅掌握“咯血病（BNF080）”这1个具体疾病。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4" w:lineRule="exact"/>
        <w:ind w:left="0" w:leftChars="0" w:right="0" w:firstLine="560"/>
        <w:jc w:val="both"/>
        <w:textAlignment w:val="auto"/>
        <w:outlineLvl w:val="9"/>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
        </w:rPr>
        <w:t>②选择填写某几个中医疾病（最多3个）。表示掌握某一病类或某几个病类下的几个具体疾病（最多3个），</w:t>
      </w:r>
      <w:r>
        <w:rPr>
          <w:rFonts w:hint="eastAsia" w:ascii="仿宋_GB2312" w:hAnsi="仿宋_GB2312" w:eastAsia="仿宋_GB2312" w:cs="仿宋_GB2312"/>
          <w:b w:val="0"/>
          <w:i w:val="0"/>
          <w:caps w:val="0"/>
          <w:color w:val="auto"/>
          <w:spacing w:val="0"/>
          <w:kern w:val="0"/>
          <w:sz w:val="32"/>
          <w:szCs w:val="32"/>
          <w:shd w:val="clear" w:color="auto" w:fill="FFFFFF"/>
          <w:lang w:val="en-US" w:eastAsia="zh-CN" w:bidi="ar"/>
        </w:rPr>
        <w:t>具体疾病所跨病类不作限制。</w:t>
      </w:r>
      <w:r>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
        </w:rPr>
        <w:t>例如：选择填写“内科病（BN）”中“肺系病类（BNF）”下的“肺痨病（BNF070）”、“咯血病（BNF080）”，表示掌握“肺痨病（BNF070）”、“咯血病（BNF080）”这2个具体疾病。再如：选择填写“内科病（BN）”中“肺系病类（BNF）”下的“肺痨病（BNF070）”，“心系病类（BNX）”下的“心衰病（BNX030）”，以及“脾系病类（BNP）”下的“吐血病（BNP120）”，表示掌握“肺痨病（BNF070）”、“心衰病（BNX030）”、“吐血病（BNP120）”这3个具体疾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4" w:lineRule="exact"/>
        <w:ind w:left="0" w:leftChars="0" w:right="0" w:firstLine="560"/>
        <w:jc w:val="both"/>
        <w:textAlignment w:val="auto"/>
        <w:outlineLvl w:val="9"/>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
        </w:rPr>
        <w:t>2.填报中医药技术方法：分“内服方药”、“外治技术”、“内外兼有”三类，仅限选填其中一类。选填“内服方药”类的申报者须列举常用的方剂名称（相关内容应前后一致）。选填“外治技术”类的申报者须对照《中医医疗技术目录》，明确技术名称。选填“内外兼有”类的申报者须列举常用的方剂名称（相关内容应前后一致），并对照《中医医疗技术目录》，明确技术名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4" w:lineRule="exact"/>
        <w:ind w:left="0" w:leftChars="0" w:right="0" w:firstLine="560"/>
        <w:jc w:val="both"/>
        <w:textAlignment w:val="auto"/>
        <w:outlineLvl w:val="9"/>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
        </w:rPr>
        <w:t>①选择填写某一个技术名称，表示仅掌握某技术类别下的某一个具体技术。例如：选择填写“毫针技术”，表示仅掌握“针刺类技术”下所列的“毫针技术”这1个具体技术。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4" w:lineRule="exact"/>
        <w:ind w:left="0" w:leftChars="0" w:right="0" w:firstLine="560"/>
        <w:jc w:val="both"/>
        <w:textAlignment w:val="auto"/>
        <w:outlineLvl w:val="9"/>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
        </w:rPr>
        <w:t>②</w:t>
      </w:r>
      <w:r>
        <w:rPr>
          <w:rFonts w:hint="eastAsia" w:ascii="仿宋_GB2312" w:hAnsi="仿宋_GB2312" w:eastAsia="仿宋_GB2312" w:cs="仿宋_GB2312"/>
          <w:b w:val="0"/>
          <w:i w:val="0"/>
          <w:caps w:val="0"/>
          <w:color w:val="auto"/>
          <w:spacing w:val="0"/>
          <w:kern w:val="0"/>
          <w:sz w:val="32"/>
          <w:szCs w:val="32"/>
          <w:shd w:val="clear" w:color="auto" w:fill="FFFFFF"/>
          <w:lang w:val="en-US" w:eastAsia="zh-CN" w:bidi="ar"/>
        </w:rPr>
        <w:t>选择填写某几个技术名称（每种疾病不超过3个），</w:t>
      </w:r>
      <w:r>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
        </w:rPr>
        <w:t>表示掌握某几个技术类别下的某几个具体技术。例如：选择填写“毫针技术”、“麦粒灸技术”，表示掌握“针刺类技术”和“灸类技术”下所列的“毫针技术”、“麦粒灸技术”这2个具体技术。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4" w:lineRule="exact"/>
        <w:ind w:left="0" w:leftChars="0" w:right="0" w:firstLine="560"/>
        <w:jc w:val="left"/>
        <w:textAlignment w:val="auto"/>
        <w:outlineLvl w:val="9"/>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b w:val="0"/>
          <w:i w:val="0"/>
          <w:caps w:val="0"/>
          <w:color w:val="000000"/>
          <w:spacing w:val="0"/>
          <w:kern w:val="0"/>
          <w:sz w:val="32"/>
          <w:szCs w:val="32"/>
          <w:shd w:val="clear" w:color="auto" w:fill="FFFFFF"/>
          <w:lang w:val="en-US" w:eastAsia="zh-CN" w:bidi="ar"/>
        </w:rPr>
        <w:t xml:space="preserve">   </w:t>
      </w:r>
    </w:p>
    <w:p>
      <w:pPr>
        <w:jc w:val="both"/>
        <w:rPr>
          <w:rFonts w:hint="eastAsia" w:ascii="楷体" w:hAnsi="楷体" w:eastAsia="楷体" w:cs="楷体"/>
          <w:sz w:val="32"/>
          <w:szCs w:val="32"/>
        </w:rPr>
      </w:pPr>
    </w:p>
    <w:p>
      <w:pPr>
        <w:jc w:val="both"/>
        <w:rPr>
          <w:rFonts w:hint="eastAsia" w:ascii="楷体" w:hAnsi="楷体" w:eastAsia="楷体" w:cs="楷体"/>
          <w:sz w:val="32"/>
          <w:szCs w:val="32"/>
        </w:rPr>
      </w:pPr>
    </w:p>
    <w:p>
      <w:pPr>
        <w:jc w:val="both"/>
        <w:rPr>
          <w:rFonts w:hint="eastAsia" w:ascii="楷体" w:hAnsi="楷体" w:eastAsia="楷体" w:cs="楷体"/>
          <w:sz w:val="32"/>
          <w:szCs w:val="32"/>
        </w:rPr>
      </w:pPr>
    </w:p>
    <w:p>
      <w:pPr>
        <w:jc w:val="both"/>
        <w:rPr>
          <w:rFonts w:hint="eastAsia" w:ascii="仿宋_GB2312" w:hAnsi="仿宋_GB2312" w:eastAsia="仿宋_GB2312" w:cs="仿宋_GB2312"/>
          <w:sz w:val="32"/>
          <w:szCs w:val="32"/>
          <w:lang w:eastAsia="zh-CN"/>
        </w:rPr>
      </w:pPr>
    </w:p>
    <w:p>
      <w:pPr>
        <w:jc w:val="both"/>
        <w:rPr>
          <w:rFonts w:hint="eastAsia" w:ascii="仿宋_GB2312" w:hAnsi="仿宋_GB2312" w:eastAsia="仿宋_GB2312" w:cs="仿宋_GB2312"/>
          <w:sz w:val="32"/>
          <w:szCs w:val="32"/>
          <w:lang w:eastAsia="zh-CN"/>
        </w:rPr>
      </w:pPr>
    </w:p>
    <w:p>
      <w:pPr>
        <w:jc w:val="both"/>
        <w:rPr>
          <w:rFonts w:hint="eastAsia" w:ascii="仿宋_GB2312" w:hAnsi="仿宋_GB2312" w:eastAsia="仿宋_GB2312" w:cs="仿宋_GB2312"/>
          <w:sz w:val="32"/>
          <w:szCs w:val="32"/>
          <w:lang w:eastAsia="zh-CN"/>
        </w:rPr>
      </w:pPr>
    </w:p>
    <w:p>
      <w:pPr>
        <w:jc w:val="both"/>
        <w:rPr>
          <w:rFonts w:hint="eastAsia" w:ascii="仿宋_GB2312" w:hAnsi="仿宋_GB2312" w:eastAsia="仿宋_GB2312" w:cs="仿宋_GB2312"/>
          <w:sz w:val="32"/>
          <w:szCs w:val="32"/>
          <w:lang w:eastAsia="zh-CN"/>
        </w:rPr>
      </w:pPr>
    </w:p>
    <w:p>
      <w:pPr>
        <w:jc w:val="both"/>
        <w:rPr>
          <w:rFonts w:hint="eastAsia" w:ascii="仿宋_GB2312" w:hAnsi="仿宋_GB2312" w:eastAsia="仿宋_GB2312" w:cs="仿宋_GB2312"/>
          <w:sz w:val="32"/>
          <w:szCs w:val="32"/>
          <w:lang w:eastAsia="zh-CN"/>
        </w:rPr>
      </w:pPr>
    </w:p>
    <w:p>
      <w:bookmarkStart w:id="0" w:name="_GoBack"/>
      <w:bookmarkEnd w:id="0"/>
    </w:p>
    <w:sectPr>
      <w:pgSz w:w="11906" w:h="16838"/>
      <w:pgMar w:top="2041" w:right="1531" w:bottom="2041"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535524"/>
    <w:rsid w:val="134B71BD"/>
    <w:rsid w:val="30696EE5"/>
    <w:rsid w:val="490424E1"/>
    <w:rsid w:val="4C535524"/>
    <w:rsid w:val="665D1AE3"/>
    <w:rsid w:val="74C603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jc w:val="left"/>
    </w:pPr>
    <w:rPr>
      <w:rFonts w:ascii="Times New Roman" w:hAnsi="Times New Roman" w:cs="Times New Roman"/>
      <w:kern w:val="0"/>
      <w:sz w:val="24"/>
      <w:szCs w:val="24"/>
      <w:lang w:bidi="ar-SA"/>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省中医药局</Company>
  <Pages>1</Pages>
  <Words>0</Words>
  <Characters>0</Characters>
  <Lines>0</Lines>
  <Paragraphs>0</Paragraphs>
  <TotalTime>15</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2018-11-01T02:38:00Z</dcterms:created>
  <dc:creator>李峰</dc:creator>
  <cp:lastModifiedBy>卢玲</cp:lastModifiedBy>
  <cp:lastPrinted>2018-11-01T04:00:00Z</cp:lastPrinted>
  <dcterms:modified xsi:type="dcterms:W3CDTF">2018-11-01T09:45:25Z</dcterms:modified>
  <dc:title>粤中医办函〔2018〕179号</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