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384" w:lineRule="auto"/>
      </w:pPr>
      <w:bookmarkStart w:id="0" w:name="_GoBack"/>
      <w:r>
        <w:rPr>
          <w:rStyle w:val="5"/>
          <w:sz w:val="21"/>
          <w:szCs w:val="21"/>
        </w:rPr>
        <w:t xml:space="preserve">招聘岗位、人数及岗位条件  </w:t>
      </w:r>
    </w:p>
    <w:bookmarkEnd w:id="0"/>
    <w:tbl>
      <w:tblPr>
        <w:tblW w:w="8897" w:type="dxa"/>
        <w:jc w:val="center"/>
        <w:tblInd w:w="-295" w:type="dxa"/>
        <w:shd w:val="clear"/>
        <w:tblLayout w:type="fixed"/>
        <w:tblCellMar>
          <w:top w:w="0" w:type="dxa"/>
          <w:left w:w="0" w:type="dxa"/>
          <w:bottom w:w="0" w:type="dxa"/>
          <w:right w:w="0" w:type="dxa"/>
        </w:tblCellMar>
      </w:tblPr>
      <w:tblGrid>
        <w:gridCol w:w="1880"/>
        <w:gridCol w:w="1177"/>
        <w:gridCol w:w="5840"/>
      </w:tblGrid>
      <w:tr>
        <w:tblPrEx>
          <w:shd w:val="clear"/>
          <w:tblLayout w:type="fixed"/>
          <w:tblCellMar>
            <w:top w:w="0" w:type="dxa"/>
            <w:left w:w="0" w:type="dxa"/>
            <w:bottom w:w="0" w:type="dxa"/>
            <w:right w:w="0" w:type="dxa"/>
          </w:tblCellMar>
        </w:tblPrEx>
        <w:trPr>
          <w:trHeight w:val="450" w:hRule="atLeast"/>
          <w:jc w:val="center"/>
        </w:trPr>
        <w:tc>
          <w:tcPr>
            <w:tcW w:w="18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b/>
                <w:color w:val="000000"/>
                <w:kern w:val="0"/>
                <w:sz w:val="20"/>
                <w:szCs w:val="20"/>
                <w:bdr w:val="none" w:color="auto" w:sz="0" w:space="0"/>
                <w:lang w:val="en-US" w:eastAsia="zh-CN" w:bidi="ar"/>
              </w:rPr>
              <w:t>招聘岗位</w:t>
            </w:r>
          </w:p>
        </w:tc>
        <w:tc>
          <w:tcPr>
            <w:tcW w:w="117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b/>
                <w:color w:val="000000"/>
                <w:kern w:val="0"/>
                <w:sz w:val="20"/>
                <w:szCs w:val="20"/>
                <w:bdr w:val="none" w:color="auto" w:sz="0" w:space="0"/>
                <w:lang w:val="en-US" w:eastAsia="zh-CN" w:bidi="ar"/>
              </w:rPr>
              <w:t>招聘人数</w:t>
            </w:r>
          </w:p>
        </w:tc>
        <w:tc>
          <w:tcPr>
            <w:tcW w:w="584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b/>
                <w:color w:val="000000"/>
                <w:kern w:val="0"/>
                <w:sz w:val="20"/>
                <w:szCs w:val="20"/>
                <w:bdr w:val="none" w:color="auto" w:sz="0" w:space="0"/>
                <w:lang w:val="en-US" w:eastAsia="zh-CN" w:bidi="ar"/>
              </w:rPr>
              <w:t>招聘条件</w:t>
            </w:r>
          </w:p>
        </w:tc>
      </w:tr>
      <w:tr>
        <w:tblPrEx>
          <w:shd w:val="clear"/>
          <w:tblLayout w:type="fixed"/>
          <w:tblCellMar>
            <w:top w:w="0" w:type="dxa"/>
            <w:left w:w="0" w:type="dxa"/>
            <w:bottom w:w="0" w:type="dxa"/>
            <w:right w:w="0" w:type="dxa"/>
          </w:tblCellMar>
        </w:tblPrEx>
        <w:trPr>
          <w:trHeight w:val="1290" w:hRule="atLeast"/>
          <w:jc w:val="center"/>
        </w:trPr>
        <w:tc>
          <w:tcPr>
            <w:tcW w:w="18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眼科技师</w:t>
            </w:r>
          </w:p>
        </w:tc>
        <w:tc>
          <w:tcPr>
            <w:tcW w:w="117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1</w:t>
            </w:r>
          </w:p>
        </w:tc>
        <w:tc>
          <w:tcPr>
            <w:tcW w:w="584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left"/>
            </w:pPr>
            <w:r>
              <w:rPr>
                <w:rFonts w:hint="eastAsia" w:ascii="宋体" w:hAnsi="宋体" w:eastAsia="宋体" w:cs="宋体"/>
                <w:color w:val="000000"/>
                <w:kern w:val="0"/>
                <w:sz w:val="20"/>
                <w:szCs w:val="20"/>
                <w:bdr w:val="none" w:color="auto" w:sz="0" w:space="0"/>
                <w:lang w:val="en-US" w:eastAsia="zh-CN" w:bidi="ar"/>
              </w:rPr>
              <w:t>全日制本科及以上学历，临床医学或生物医学工程专业，历届生须取得医师或技师资格证，毕业后一直在三级甲等医院从事医疗或生物医学工程相关工作至今，年龄在25周岁以下。</w:t>
            </w:r>
          </w:p>
        </w:tc>
      </w:tr>
      <w:tr>
        <w:tblPrEx>
          <w:shd w:val="clear"/>
          <w:tblLayout w:type="fixed"/>
          <w:tblCellMar>
            <w:top w:w="0" w:type="dxa"/>
            <w:left w:w="0" w:type="dxa"/>
            <w:bottom w:w="0" w:type="dxa"/>
            <w:right w:w="0" w:type="dxa"/>
          </w:tblCellMar>
        </w:tblPrEx>
        <w:trPr>
          <w:trHeight w:val="1290" w:hRule="atLeast"/>
          <w:jc w:val="center"/>
        </w:trPr>
        <w:tc>
          <w:tcPr>
            <w:tcW w:w="18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输血科医、技师</w:t>
            </w:r>
          </w:p>
        </w:tc>
        <w:tc>
          <w:tcPr>
            <w:tcW w:w="117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2</w:t>
            </w:r>
          </w:p>
        </w:tc>
        <w:tc>
          <w:tcPr>
            <w:tcW w:w="584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left"/>
            </w:pPr>
            <w:r>
              <w:rPr>
                <w:rFonts w:hint="eastAsia" w:ascii="宋体" w:hAnsi="宋体" w:eastAsia="宋体" w:cs="宋体"/>
                <w:color w:val="000000"/>
                <w:kern w:val="0"/>
                <w:sz w:val="20"/>
                <w:szCs w:val="20"/>
                <w:bdr w:val="none" w:color="auto" w:sz="0" w:space="0"/>
                <w:lang w:val="en-US" w:eastAsia="zh-CN" w:bidi="ar"/>
              </w:rPr>
              <w:t>全日制本科及以上学历，临床医学或医学检验专业，历届生须取得医师资格证或检验技师资格证，毕业后一直在三级甲等医院从事输血医疗技术或医学检验相关工作至今，年龄在30周岁以下。</w:t>
            </w:r>
          </w:p>
        </w:tc>
      </w:tr>
      <w:tr>
        <w:tblPrEx>
          <w:shd w:val="clear"/>
          <w:tblLayout w:type="fixed"/>
          <w:tblCellMar>
            <w:top w:w="0" w:type="dxa"/>
            <w:left w:w="0" w:type="dxa"/>
            <w:bottom w:w="0" w:type="dxa"/>
            <w:right w:w="0" w:type="dxa"/>
          </w:tblCellMar>
        </w:tblPrEx>
        <w:trPr>
          <w:trHeight w:val="1290" w:hRule="atLeast"/>
          <w:jc w:val="center"/>
        </w:trPr>
        <w:tc>
          <w:tcPr>
            <w:tcW w:w="18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妇科医师</w:t>
            </w:r>
          </w:p>
        </w:tc>
        <w:tc>
          <w:tcPr>
            <w:tcW w:w="117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1</w:t>
            </w:r>
          </w:p>
        </w:tc>
        <w:tc>
          <w:tcPr>
            <w:tcW w:w="584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left"/>
            </w:pPr>
            <w:r>
              <w:rPr>
                <w:rFonts w:hint="eastAsia" w:ascii="宋体" w:hAnsi="宋体" w:eastAsia="宋体" w:cs="宋体"/>
                <w:color w:val="000000"/>
                <w:kern w:val="0"/>
                <w:sz w:val="20"/>
                <w:szCs w:val="20"/>
                <w:bdr w:val="none" w:color="auto" w:sz="0" w:space="0"/>
                <w:lang w:val="en-US" w:eastAsia="zh-CN" w:bidi="ar"/>
              </w:rPr>
              <w:t>全日制本科及以上学历、临床医学或妇产科学专业，历届生毕业后须一直在三甲医院妇产科专业规范化培训至今，取得医师资格证，通过住院医师规范化培训资格考试，年龄30周岁以下</w:t>
            </w:r>
          </w:p>
        </w:tc>
      </w:tr>
      <w:tr>
        <w:tblPrEx>
          <w:shd w:val="clear"/>
          <w:tblLayout w:type="fixed"/>
          <w:tblCellMar>
            <w:top w:w="0" w:type="dxa"/>
            <w:left w:w="0" w:type="dxa"/>
            <w:bottom w:w="0" w:type="dxa"/>
            <w:right w:w="0" w:type="dxa"/>
          </w:tblCellMar>
        </w:tblPrEx>
        <w:trPr>
          <w:trHeight w:val="1290" w:hRule="atLeast"/>
          <w:jc w:val="center"/>
        </w:trPr>
        <w:tc>
          <w:tcPr>
            <w:tcW w:w="188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急诊科医师</w:t>
            </w:r>
          </w:p>
        </w:tc>
        <w:tc>
          <w:tcPr>
            <w:tcW w:w="117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center"/>
            </w:pPr>
            <w:r>
              <w:rPr>
                <w:rFonts w:hint="eastAsia" w:ascii="宋体" w:hAnsi="宋体" w:eastAsia="宋体" w:cs="宋体"/>
                <w:color w:val="000000"/>
                <w:kern w:val="0"/>
                <w:sz w:val="20"/>
                <w:szCs w:val="20"/>
                <w:bdr w:val="none" w:color="auto" w:sz="0" w:space="0"/>
                <w:lang w:val="en-US" w:eastAsia="zh-CN" w:bidi="ar"/>
              </w:rPr>
              <w:t>1</w:t>
            </w:r>
          </w:p>
        </w:tc>
        <w:tc>
          <w:tcPr>
            <w:tcW w:w="584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line="400" w:lineRule="exact"/>
              <w:ind w:left="0" w:right="0"/>
              <w:jc w:val="left"/>
            </w:pPr>
            <w:r>
              <w:rPr>
                <w:rFonts w:hint="eastAsia" w:ascii="宋体" w:hAnsi="宋体" w:eastAsia="宋体" w:cs="宋体"/>
                <w:color w:val="000000"/>
                <w:kern w:val="0"/>
                <w:sz w:val="20"/>
                <w:szCs w:val="20"/>
                <w:bdr w:val="none" w:color="auto" w:sz="0" w:space="0"/>
                <w:lang w:val="en-US" w:eastAsia="zh-CN" w:bidi="ar"/>
              </w:rPr>
              <w:t>全日制本科及以上学历、临床医学或急诊医学专业，历届生毕业后须一直在三甲医院进行住院医师规范化培训至今，取得医师资格证，通过住院医师规范化培训资格考试，年龄30周岁以下</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7D2790"/>
    <w:rsid w:val="077D27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2019-06-27T03:13:00Z</dcterms:created>
  <dc:creator>ASUS</dc:creator>
  <cp:lastModifiedBy>ASUS</cp:lastModifiedBy>
  <dcterms:modified xsi:type="dcterms:W3CDTF">2019-06-27T03:13:35Z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