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9" w:lineRule="atLeast"/>
        <w:ind w:left="0" w:right="0"/>
        <w:rPr>
          <w:rFonts w:hint="eastAsia"/>
          <w:lang w:val="en-US" w:eastAsia="zh-CN"/>
        </w:rPr>
      </w:pPr>
      <w:r>
        <w:t>临床研究管理部临床研究助理招聘</w:t>
      </w:r>
      <w:r>
        <w:rPr>
          <w:rFonts w:hint="eastAsia"/>
          <w:lang w:val="en-US" w:eastAsia="zh-CN"/>
        </w:rPr>
        <w:t>岗位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858385" cy="4404995"/>
            <wp:effectExtent l="0" t="0" r="152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8385" cy="440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27076"/>
    <w:rsid w:val="5C7270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jc w:val="center"/>
    </w:pPr>
    <w:rPr>
      <w:rFonts w:hint="eastAsia" w:ascii="宋体" w:hAnsi="宋体" w:eastAsia="宋体" w:cs="宋体"/>
      <w:b/>
      <w:color w:val="333333"/>
      <w:kern w:val="0"/>
      <w:sz w:val="30"/>
      <w:szCs w:val="3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2019-07-16T09:56:00Z</dcterms:created>
  <dc:creator>ASUS</dc:creator>
  <cp:lastModifiedBy>ASUS</cp:lastModifiedBy>
  <dcterms:modified xsi:type="dcterms:W3CDTF">2019-07-16T09:56:41Z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