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70B5" w:rsidRDefault="005E70B5" w:rsidP="005E70B5">
      <w:pPr>
        <w:spacing w:line="176" w:lineRule="exact"/>
        <w:rPr>
          <w:rFonts w:ascii="Times New Roman" w:eastAsia="Times New Roman" w:hAnsi="Times New Roman"/>
        </w:rPr>
      </w:pPr>
    </w:p>
    <w:p w:rsidR="005E70B5" w:rsidRDefault="005E70B5" w:rsidP="005E70B5">
      <w:pPr>
        <w:spacing w:line="366" w:lineRule="exact"/>
        <w:ind w:right="-9"/>
        <w:jc w:val="center"/>
        <w:rPr>
          <w:rFonts w:ascii="宋体" w:eastAsia="宋体" w:hAnsi="宋体"/>
          <w:sz w:val="32"/>
        </w:rPr>
      </w:pPr>
      <w:r>
        <w:rPr>
          <w:rFonts w:ascii="宋体" w:eastAsia="宋体" w:hAnsi="宋体"/>
          <w:sz w:val="32"/>
        </w:rPr>
        <w:t>（二）卫生法规</w:t>
      </w:r>
    </w:p>
    <w:p w:rsidR="005E70B5" w:rsidRDefault="005E70B5" w:rsidP="005E70B5">
      <w:pPr>
        <w:spacing w:line="200" w:lineRule="exact"/>
        <w:rPr>
          <w:rFonts w:ascii="Times New Roman" w:eastAsia="Times New Roman" w:hAnsi="Times New Roman"/>
        </w:rPr>
      </w:pPr>
    </w:p>
    <w:p w:rsidR="005E70B5" w:rsidRDefault="005E70B5" w:rsidP="005E70B5">
      <w:pPr>
        <w:spacing w:line="314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80"/>
        <w:gridCol w:w="1740"/>
        <w:gridCol w:w="2720"/>
        <w:gridCol w:w="3900"/>
        <w:gridCol w:w="40"/>
      </w:tblGrid>
      <w:tr w:rsidR="005E70B5" w:rsidTr="00530DE5">
        <w:trPr>
          <w:trHeight w:val="288"/>
        </w:trPr>
        <w:tc>
          <w:tcPr>
            <w:tcW w:w="9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2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一、卫生法的概念和渊源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卫生法的概念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194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第一单元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卫生法概述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卫生法的渊源</w:t>
            </w:r>
          </w:p>
        </w:tc>
      </w:tr>
      <w:tr w:rsidR="005E70B5" w:rsidTr="00530DE5">
        <w:trPr>
          <w:trHeight w:val="175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E70B5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83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二、卫生法的基本原则和作用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卫生法的基本原则</w:t>
            </w:r>
          </w:p>
        </w:tc>
      </w:tr>
      <w:tr w:rsidR="005E70B5" w:rsidTr="00530DE5">
        <w:trPr>
          <w:trHeight w:val="17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卫生法的作用</w:t>
            </w:r>
          </w:p>
        </w:tc>
      </w:tr>
      <w:tr w:rsidR="005E70B5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卫生民事责任的概念及其特征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一、卫生民事责任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卫生民事责任的构成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卫生民事责任的承担方式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卫生行政责任的概念及其种类</w:t>
            </w:r>
          </w:p>
        </w:tc>
      </w:tr>
      <w:tr w:rsidR="005E70B5" w:rsidTr="00530DE5">
        <w:trPr>
          <w:trHeight w:val="7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第二单元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卫生法律责任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二、卫生行政责任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卫生行政处罚的概念及其种类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卫生行政处分的概念及其种类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卫生刑事责任的概念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三、卫生刑事责任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实现刑事责任的方式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违反卫生法的刑事责任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一、执业医师的概念及职责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执业医师的概念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执业医师的职责</w:t>
            </w:r>
          </w:p>
        </w:tc>
      </w:tr>
      <w:tr w:rsidR="005E70B5" w:rsidTr="00530DE5">
        <w:trPr>
          <w:trHeight w:val="17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二、医师资格考试制度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执业医师资格考试的条件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执业助理医师资格考试的条件</w:t>
            </w:r>
          </w:p>
        </w:tc>
      </w:tr>
      <w:tr w:rsidR="005E70B5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三、医师执业注册制度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执业医师注册的条件及办理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194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《中华人民共和国执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不予注册的情形</w:t>
            </w:r>
          </w:p>
        </w:tc>
      </w:tr>
      <w:tr w:rsidR="005E70B5" w:rsidTr="00530DE5">
        <w:trPr>
          <w:trHeight w:val="224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5E70B5" w:rsidTr="00530DE5">
        <w:trPr>
          <w:trHeight w:val="24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业医师法》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执业医师的权利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四、执业医师的权利、义务和执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13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执业医师的义务</w:t>
            </w:r>
          </w:p>
        </w:tc>
      </w:tr>
      <w:tr w:rsidR="005E70B5" w:rsidTr="00530DE5">
        <w:trPr>
          <w:trHeight w:val="12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业规则</w:t>
            </w: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医师执业规则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民事责任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五、《执业医师法》规定的法律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13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行政责任</w:t>
            </w:r>
          </w:p>
        </w:tc>
      </w:tr>
      <w:tr w:rsidR="005E70B5" w:rsidTr="00530DE5">
        <w:trPr>
          <w:trHeight w:val="12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责任</w:t>
            </w: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刑事责任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1.«</w:t>
            </w:r>
            <w:r>
              <w:rPr>
                <w:rFonts w:ascii="宋体" w:eastAsia="宋体" w:hAnsi="宋体"/>
                <w:sz w:val="17"/>
              </w:rPr>
              <w:t>《药品管理法》的立法目的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药品的法定含义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药品必须符合法定要求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330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第四单元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《中华人民共和国药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二、禁止生产（包括配制）、销</w:t>
            </w: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禁止生产（包括配制）、销售假药</w:t>
            </w:r>
          </w:p>
        </w:tc>
      </w:tr>
      <w:tr w:rsidR="005E70B5" w:rsidTr="00530DE5">
        <w:trPr>
          <w:trHeight w:val="259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品管理法》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售假药与劣药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禁止生产（包括配制）、销售劣药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特殊药品的分类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三、特殊药品的管理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麻醉药品和精神药品管理的相关规定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医疗用毒性药品管理的相关规定</w:t>
            </w:r>
          </w:p>
        </w:tc>
      </w:tr>
      <w:tr w:rsidR="005E70B5" w:rsidTr="00530DE5">
        <w:trPr>
          <w:trHeight w:val="74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5E70B5" w:rsidRDefault="005E70B5" w:rsidP="005E70B5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0" style="position:absolute;margin-left:8.75pt;margin-top:-455.8pt;width:.95pt;height:.95pt;z-index:-25165619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1" style="position:absolute;margin-left:476.5pt;margin-top:-455.8pt;width:.95pt;height:.95pt;z-index:-25165516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2" style="position:absolute;margin-left:8.75pt;margin-top:-70.8pt;width:.95pt;height:.95pt;z-index:-25165414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3" style="position:absolute;margin-left:144.15pt;margin-top:-70.8pt;width:.95pt;height:.95pt;z-index:-25165312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4" style="position:absolute;margin-left:476.5pt;margin-top:-70.8pt;width:.95pt;height:.95pt;z-index:-25165209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5" style="position:absolute;margin-left:476.5pt;margin-top:-.7pt;width:.95pt;height:.95pt;z-index:-251651072;mso-position-horizontal-relative:text;mso-position-vertical-relative:text" o:userdrawn="t" fillcolor="#231f20" strokecolor="none"/>
        </w:pict>
      </w:r>
    </w:p>
    <w:p w:rsidR="005E70B5" w:rsidRDefault="005E70B5" w:rsidP="005E70B5">
      <w:pPr>
        <w:spacing w:line="20" w:lineRule="exact"/>
        <w:rPr>
          <w:rFonts w:ascii="Times New Roman" w:eastAsia="Times New Roman" w:hAnsi="Times New Roman"/>
        </w:rPr>
        <w:sectPr w:rsidR="005E70B5">
          <w:pgSz w:w="12600" w:h="16560"/>
          <w:pgMar w:top="1440" w:right="1440" w:bottom="393" w:left="1440" w:header="0" w:footer="0" w:gutter="0"/>
          <w:cols w:space="0" w:equalWidth="0">
            <w:col w:w="9710"/>
          </w:cols>
          <w:docGrid w:linePitch="360"/>
        </w:sectPr>
      </w:pPr>
    </w:p>
    <w:p w:rsidR="005E70B5" w:rsidRDefault="005E70B5" w:rsidP="005E70B5">
      <w:pPr>
        <w:spacing w:line="200" w:lineRule="exact"/>
        <w:rPr>
          <w:rFonts w:ascii="Times New Roman" w:eastAsia="Times New Roman" w:hAnsi="Times New Roman"/>
        </w:rPr>
      </w:pPr>
    </w:p>
    <w:p w:rsidR="005E70B5" w:rsidRDefault="005E70B5" w:rsidP="005E70B5">
      <w:pPr>
        <w:spacing w:line="200" w:lineRule="exact"/>
        <w:rPr>
          <w:rFonts w:ascii="Times New Roman" w:eastAsia="Times New Roman" w:hAnsi="Times New Roman"/>
        </w:rPr>
      </w:pPr>
    </w:p>
    <w:p w:rsidR="005E70B5" w:rsidRDefault="005E70B5" w:rsidP="005E70B5">
      <w:pPr>
        <w:spacing w:line="200" w:lineRule="exact"/>
        <w:rPr>
          <w:rFonts w:ascii="Times New Roman" w:eastAsia="Times New Roman" w:hAnsi="Times New Roman"/>
        </w:rPr>
      </w:pPr>
    </w:p>
    <w:p w:rsidR="005E70B5" w:rsidRDefault="005E70B5" w:rsidP="005E70B5">
      <w:pPr>
        <w:spacing w:line="392" w:lineRule="exact"/>
        <w:rPr>
          <w:rFonts w:ascii="Times New Roman" w:eastAsia="Times New Roman" w:hAnsi="Times New Roman"/>
        </w:rPr>
      </w:pPr>
    </w:p>
    <w:p w:rsidR="005E70B5" w:rsidRDefault="005E70B5" w:rsidP="005E70B5">
      <w:pPr>
        <w:spacing w:line="0" w:lineRule="atLeast"/>
        <w:ind w:right="-29"/>
        <w:jc w:val="center"/>
        <w:rPr>
          <w:rFonts w:ascii="Arial" w:eastAsia="Arial" w:hAnsi="Arial"/>
          <w:sz w:val="15"/>
        </w:rPr>
      </w:pPr>
      <w:r>
        <w:rPr>
          <w:rFonts w:ascii="Arial" w:eastAsia="Arial" w:hAnsi="Arial"/>
          <w:sz w:val="15"/>
        </w:rPr>
        <w:t>444</w:t>
      </w:r>
    </w:p>
    <w:p w:rsidR="005E70B5" w:rsidRDefault="005E70B5" w:rsidP="005E70B5">
      <w:pPr>
        <w:spacing w:line="0" w:lineRule="atLeast"/>
        <w:ind w:right="-29"/>
        <w:jc w:val="center"/>
        <w:rPr>
          <w:rFonts w:ascii="Arial" w:eastAsia="Arial" w:hAnsi="Arial"/>
          <w:sz w:val="15"/>
        </w:rPr>
        <w:sectPr w:rsidR="005E70B5">
          <w:type w:val="continuous"/>
          <w:pgSz w:w="12600" w:h="16560"/>
          <w:pgMar w:top="1440" w:right="1440" w:bottom="393" w:left="1440" w:header="0" w:footer="0" w:gutter="0"/>
          <w:cols w:space="0" w:equalWidth="0">
            <w:col w:w="9710"/>
          </w:cols>
          <w:docGrid w:linePitch="360"/>
        </w:sectPr>
      </w:pPr>
    </w:p>
    <w:p w:rsidR="005E70B5" w:rsidRDefault="005E70B5" w:rsidP="005E70B5">
      <w:pPr>
        <w:spacing w:line="200" w:lineRule="exact"/>
        <w:rPr>
          <w:rFonts w:ascii="Times New Roman" w:eastAsia="Times New Roman" w:hAnsi="Times New Roman"/>
        </w:rPr>
      </w:pPr>
      <w:bookmarkStart w:id="0" w:name="page451"/>
      <w:bookmarkEnd w:id="0"/>
    </w:p>
    <w:p w:rsidR="005E70B5" w:rsidRDefault="005E70B5" w:rsidP="005E70B5">
      <w:pPr>
        <w:spacing w:line="200" w:lineRule="exact"/>
        <w:rPr>
          <w:rFonts w:ascii="Times New Roman" w:eastAsia="Times New Roman" w:hAnsi="Times New Roman"/>
        </w:rPr>
      </w:pPr>
    </w:p>
    <w:p w:rsidR="005E70B5" w:rsidRDefault="005E70B5" w:rsidP="005E70B5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80"/>
        <w:gridCol w:w="1740"/>
        <w:gridCol w:w="2720"/>
        <w:gridCol w:w="3900"/>
        <w:gridCol w:w="40"/>
      </w:tblGrid>
      <w:tr w:rsidR="005E70B5" w:rsidTr="00530DE5">
        <w:trPr>
          <w:trHeight w:val="288"/>
        </w:trPr>
        <w:tc>
          <w:tcPr>
            <w:tcW w:w="9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2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医疗机构药品使用的管理规定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四、《药品管理法》及相关法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18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处方的管理规定</w:t>
            </w:r>
          </w:p>
        </w:tc>
      </w:tr>
      <w:tr w:rsidR="005E70B5" w:rsidTr="00530DE5">
        <w:trPr>
          <w:trHeight w:val="7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规、规章对医疗机构及其人员的</w:t>
            </w: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8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关于禁止药品购销中账外暗中给予、收受回扣或</w:t>
            </w:r>
          </w:p>
        </w:tc>
      </w:tr>
      <w:tr w:rsidR="005E70B5" w:rsidTr="00530DE5">
        <w:trPr>
          <w:trHeight w:val="25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有关规定</w:t>
            </w: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5E70B5" w:rsidTr="00530DE5">
        <w:trPr>
          <w:trHeight w:val="22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者其他利益的规定</w:t>
            </w:r>
          </w:p>
        </w:tc>
      </w:tr>
      <w:tr w:rsidR="005E70B5" w:rsidTr="00530DE5">
        <w:trPr>
          <w:trHeight w:val="125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第四单元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《中华人民共和国药</w:t>
            </w: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E70B5" w:rsidTr="00530DE5">
        <w:trPr>
          <w:trHeight w:val="131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民事责任</w:t>
            </w:r>
          </w:p>
        </w:tc>
      </w:tr>
      <w:tr w:rsidR="005E70B5" w:rsidTr="00530DE5">
        <w:trPr>
          <w:trHeight w:val="127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品管理法》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E70B5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行政责任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五、《药品管理法》规定的法律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13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刑事责任</w:t>
            </w:r>
          </w:p>
        </w:tc>
      </w:tr>
      <w:tr w:rsidR="005E70B5" w:rsidTr="00530DE5">
        <w:trPr>
          <w:trHeight w:val="12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责任</w:t>
            </w: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40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有关单位或者个人在药品购销中违法给予、收受</w:t>
            </w:r>
          </w:p>
        </w:tc>
      </w:tr>
      <w:tr w:rsidR="005E70B5" w:rsidTr="00530DE5">
        <w:trPr>
          <w:trHeight w:val="27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5E70B5" w:rsidTr="00530DE5">
        <w:trPr>
          <w:trHeight w:val="25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回扣应承担的法律责任</w:t>
            </w:r>
          </w:p>
        </w:tc>
      </w:tr>
      <w:tr w:rsidR="005E70B5" w:rsidTr="00530DE5">
        <w:trPr>
          <w:trHeight w:val="125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《传染病防治法》的立法目的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我国对传染病防治实行的方针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法定传染病的分类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国家建立传染病预防的相关制度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31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各级医疗机构和疾病预防控制机构在传染病预防</w:t>
            </w:r>
          </w:p>
        </w:tc>
      </w:tr>
      <w:tr w:rsidR="005E70B5" w:rsidTr="00530DE5">
        <w:trPr>
          <w:trHeight w:val="30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二、传染病预防与疫情报告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控制中的职责</w:t>
            </w:r>
          </w:p>
        </w:tc>
      </w:tr>
      <w:tr w:rsidR="005E70B5" w:rsidTr="00530DE5">
        <w:trPr>
          <w:trHeight w:val="7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传染病疫情报告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第五单元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《中华人民共和国传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传染病疫情的通报和公布</w:t>
            </w:r>
          </w:p>
        </w:tc>
      </w:tr>
      <w:tr w:rsidR="005E70B5" w:rsidTr="00530DE5">
        <w:trPr>
          <w:trHeight w:val="6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5E70B5" w:rsidTr="00530DE5">
        <w:trPr>
          <w:trHeight w:val="268"/>
        </w:trPr>
        <w:tc>
          <w:tcPr>
            <w:tcW w:w="2720" w:type="dxa"/>
            <w:gridSpan w:val="2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染病防治法》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医疗机构发现传染病时应采取的措施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31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三、传染病疫情控制措施及医疗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疾病预防控制机构发现或接到传染病疫情时应采</w:t>
            </w:r>
          </w:p>
        </w:tc>
      </w:tr>
      <w:tr w:rsidR="005E70B5" w:rsidTr="00530DE5">
        <w:trPr>
          <w:trHeight w:val="190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取的措施</w:t>
            </w:r>
          </w:p>
        </w:tc>
      </w:tr>
      <w:tr w:rsidR="005E70B5" w:rsidTr="00530DE5">
        <w:trPr>
          <w:trHeight w:val="6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救治</w:t>
            </w: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5E70B5" w:rsidTr="00530DE5">
        <w:trPr>
          <w:trHeight w:val="12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E70B5" w:rsidTr="00530DE5">
        <w:trPr>
          <w:trHeight w:val="4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各级政府部门在传染病发生时应采取的紧急措施</w:t>
            </w:r>
          </w:p>
        </w:tc>
      </w:tr>
      <w:tr w:rsidR="005E70B5" w:rsidTr="00530DE5">
        <w:trPr>
          <w:trHeight w:val="22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5E70B5" w:rsidTr="00530DE5">
        <w:trPr>
          <w:trHeight w:val="8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医疗救治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四、相关机构及其人员违反《传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民事责任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染病防治法》有关规定应承担的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行政责任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法律责任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160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刑事责任</w:t>
            </w:r>
          </w:p>
        </w:tc>
      </w:tr>
      <w:tr w:rsidR="005E70B5" w:rsidTr="00530DE5">
        <w:trPr>
          <w:trHeight w:val="9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突发公共卫生事件的概念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突发公共卫生事件应急工作的方针及原则</w:t>
            </w:r>
          </w:p>
        </w:tc>
      </w:tr>
      <w:tr w:rsidR="005E70B5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31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二、突发公共卫生事件的预防与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突发公共卫生事件应急预案制定与预案的主要内</w:t>
            </w:r>
          </w:p>
        </w:tc>
      </w:tr>
      <w:tr w:rsidR="005E70B5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容</w:t>
            </w:r>
          </w:p>
        </w:tc>
      </w:tr>
      <w:tr w:rsidR="005E70B5" w:rsidTr="00530DE5">
        <w:trPr>
          <w:trHeight w:val="79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应急准备</w:t>
            </w: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125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第六单元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《突发公共卫生事件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E70B5" w:rsidTr="00530DE5">
        <w:trPr>
          <w:trHeight w:val="126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突发公共卫生事件预防控制体系</w:t>
            </w:r>
          </w:p>
        </w:tc>
      </w:tr>
      <w:tr w:rsidR="005E70B5" w:rsidTr="00530DE5">
        <w:trPr>
          <w:trHeight w:val="132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应急条例》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E70B5" w:rsidTr="00530DE5">
        <w:trPr>
          <w:trHeight w:val="73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30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三、突发公共卫生事件的报告与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突发公共卫生事件应急报告制度与报告情形</w:t>
            </w:r>
          </w:p>
        </w:tc>
      </w:tr>
      <w:tr w:rsidR="005E70B5" w:rsidTr="00530DE5">
        <w:trPr>
          <w:trHeight w:val="2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信息发布</w:t>
            </w: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突发公共卫生事件的信息发布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四、突发公共卫生事件的应急处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应急预案的启动</w:t>
            </w:r>
          </w:p>
        </w:tc>
      </w:tr>
      <w:tr w:rsidR="005E70B5" w:rsidTr="00530DE5">
        <w:trPr>
          <w:trHeight w:val="50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00" w:type="dxa"/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5E70B5" w:rsidTr="00530DE5">
        <w:trPr>
          <w:trHeight w:val="2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理</w:t>
            </w: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应急预案的实施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5E70B5" w:rsidRDefault="005E70B5" w:rsidP="005E70B5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6" style="position:absolute;margin-left:8.75pt;margin-top:-88.2pt;width:.95pt;height:.95pt;z-index:-25165004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7" style="position:absolute;margin-left:144.15pt;margin-top:-88.2pt;width:.95pt;height:.95pt;z-index:-25164902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8" style="position:absolute;margin-left:476.5pt;margin-top:-88.2pt;width:.95pt;height:.95pt;z-index:-251648000;mso-position-horizontal-relative:text;mso-position-vertical-relative:text" o:userdrawn="t" fillcolor="#231f20" strokecolor="none"/>
        </w:pict>
      </w:r>
    </w:p>
    <w:p w:rsidR="005E70B5" w:rsidRDefault="005E70B5" w:rsidP="005E70B5">
      <w:pPr>
        <w:spacing w:line="200" w:lineRule="exact"/>
        <w:rPr>
          <w:rFonts w:ascii="Times New Roman" w:eastAsia="Times New Roman" w:hAnsi="Times New Roman"/>
        </w:rPr>
      </w:pPr>
    </w:p>
    <w:p w:rsidR="005E70B5" w:rsidRDefault="005E70B5" w:rsidP="005E70B5">
      <w:pPr>
        <w:spacing w:line="200" w:lineRule="exact"/>
        <w:rPr>
          <w:rFonts w:ascii="Times New Roman" w:eastAsia="Times New Roman" w:hAnsi="Times New Roman"/>
        </w:rPr>
      </w:pPr>
    </w:p>
    <w:p w:rsidR="005E70B5" w:rsidRDefault="005E70B5" w:rsidP="005E70B5">
      <w:pPr>
        <w:spacing w:line="200" w:lineRule="exact"/>
        <w:rPr>
          <w:rFonts w:ascii="Times New Roman" w:eastAsia="Times New Roman" w:hAnsi="Times New Roman"/>
        </w:rPr>
      </w:pPr>
    </w:p>
    <w:p w:rsidR="005E70B5" w:rsidRDefault="005E70B5" w:rsidP="005E70B5">
      <w:pPr>
        <w:spacing w:line="310" w:lineRule="exact"/>
        <w:rPr>
          <w:rFonts w:ascii="Times New Roman" w:eastAsia="Times New Roman" w:hAnsi="Times New Roman"/>
        </w:rPr>
      </w:pPr>
    </w:p>
    <w:p w:rsidR="005E70B5" w:rsidRDefault="005E70B5" w:rsidP="005E70B5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445</w:t>
      </w:r>
    </w:p>
    <w:p w:rsidR="005E70B5" w:rsidRDefault="005E70B5" w:rsidP="005E70B5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5E70B5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5E70B5" w:rsidRDefault="005E70B5" w:rsidP="005E70B5">
      <w:pPr>
        <w:spacing w:line="200" w:lineRule="exact"/>
        <w:rPr>
          <w:rFonts w:ascii="Times New Roman" w:eastAsia="Times New Roman" w:hAnsi="Times New Roman"/>
        </w:rPr>
      </w:pPr>
      <w:bookmarkStart w:id="1" w:name="page452"/>
      <w:bookmarkEnd w:id="1"/>
    </w:p>
    <w:p w:rsidR="005E70B5" w:rsidRDefault="005E70B5" w:rsidP="005E70B5">
      <w:pPr>
        <w:spacing w:line="200" w:lineRule="exact"/>
        <w:rPr>
          <w:rFonts w:ascii="Times New Roman" w:eastAsia="Times New Roman" w:hAnsi="Times New Roman"/>
        </w:rPr>
      </w:pPr>
    </w:p>
    <w:p w:rsidR="005E70B5" w:rsidRDefault="005E70B5" w:rsidP="005E70B5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80"/>
        <w:gridCol w:w="1740"/>
        <w:gridCol w:w="2720"/>
        <w:gridCol w:w="3900"/>
        <w:gridCol w:w="40"/>
      </w:tblGrid>
      <w:tr w:rsidR="005E70B5" w:rsidTr="00530DE5">
        <w:trPr>
          <w:trHeight w:val="288"/>
        </w:trPr>
        <w:tc>
          <w:tcPr>
            <w:tcW w:w="9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2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31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医疗机构违反《突发公共卫生事件应急条例》规</w:t>
            </w:r>
          </w:p>
        </w:tc>
      </w:tr>
      <w:tr w:rsidR="005E70B5" w:rsidTr="00530DE5">
        <w:trPr>
          <w:trHeight w:val="25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定应追究的法律责任</w:t>
            </w:r>
          </w:p>
        </w:tc>
      </w:tr>
      <w:tr w:rsidR="005E70B5" w:rsidTr="00530DE5">
        <w:trPr>
          <w:trHeight w:val="12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E70B5" w:rsidTr="00530DE5">
        <w:trPr>
          <w:trHeight w:val="31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第六单元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《突发公共卫生事件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五、《突发公共卫生事件应急条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在突发事件处理工作中有关单位和个人未履行职</w:t>
            </w:r>
          </w:p>
        </w:tc>
      </w:tr>
      <w:tr w:rsidR="005E70B5" w:rsidTr="00530DE5">
        <w:trPr>
          <w:trHeight w:val="25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应急条例》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例》规定的法律责任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责应承担的法律责任</w:t>
            </w:r>
          </w:p>
        </w:tc>
      </w:tr>
      <w:tr w:rsidR="005E70B5" w:rsidTr="00530DE5">
        <w:trPr>
          <w:trHeight w:val="12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E70B5" w:rsidTr="00530DE5">
        <w:trPr>
          <w:trHeight w:val="31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在突发事件发生期间扰乱公共秩序应追究的法律</w:t>
            </w:r>
          </w:p>
        </w:tc>
      </w:tr>
      <w:tr w:rsidR="005E70B5" w:rsidTr="00530DE5">
        <w:trPr>
          <w:trHeight w:val="25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责任</w:t>
            </w:r>
          </w:p>
        </w:tc>
      </w:tr>
      <w:tr w:rsidR="005E70B5" w:rsidTr="00530DE5">
        <w:trPr>
          <w:trHeight w:val="125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医疗纠纷的概念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医疗纠纷的处理原则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医疗纠纷的合作共治中的部门责任</w:t>
            </w:r>
          </w:p>
        </w:tc>
      </w:tr>
      <w:tr w:rsidR="005E70B5" w:rsidTr="00530DE5">
        <w:trPr>
          <w:trHeight w:val="7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预防医疗纠纷的原则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二、医疗纠纷的预防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医疗机构的职责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医务人员的责任</w:t>
            </w:r>
          </w:p>
        </w:tc>
      </w:tr>
      <w:tr w:rsidR="005E70B5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患者的权利与义务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医疗纠纷的处理途径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30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第七单元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《医疗纠纷预防和处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医疗纠纷中患者的权利</w:t>
            </w:r>
          </w:p>
        </w:tc>
      </w:tr>
      <w:tr w:rsidR="005E70B5" w:rsidTr="00530DE5">
        <w:trPr>
          <w:trHeight w:val="24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理条例》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三、医疗纠纷的处理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病历资料、现场实物等的封存与处理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医疗纠纷的人民调解</w:t>
            </w:r>
          </w:p>
        </w:tc>
      </w:tr>
      <w:tr w:rsidR="005E70B5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医疗损害鉴定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医疗纠纷的行政调解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医疗机构的法律责任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医务人员的法律责任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四、法律责任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鉴定机构、尸检机构的法律责任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医疗纠纷人民调解员的法律责任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卫生行政机关及人员的法律责任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一、概述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《中医药法》制定目的、适用范围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8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发展中医药事业的原则、方针</w:t>
            </w:r>
          </w:p>
        </w:tc>
      </w:tr>
      <w:tr w:rsidR="005E70B5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中医药服务体系和能力建设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中医诊所、中医医师的准入管理制度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二、中医药服务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保持中医药服务的特色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第八单元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《中华人民共和国中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131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中医药服务的政策支持、保障</w:t>
            </w:r>
          </w:p>
        </w:tc>
      </w:tr>
      <w:tr w:rsidR="005E70B5" w:rsidTr="00530DE5">
        <w:trPr>
          <w:trHeight w:val="127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医药法》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E70B5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9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中医医疗广告管理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中医药服务的监督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中药材质量管理制度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三、中药保护与发展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中药饮片管理制度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促进中药制剂发展管理制度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5E70B5" w:rsidRDefault="005E70B5" w:rsidP="005E70B5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9" style="position:absolute;margin-left:8.75pt;margin-top:-88.2pt;width:.95pt;height:.95pt;z-index:-25164697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0" style="position:absolute;margin-left:144.15pt;margin-top:-88.2pt;width:.95pt;height:.95pt;z-index:-25164595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1" style="position:absolute;margin-left:476.5pt;margin-top:-88.2pt;width:.95pt;height:.95pt;z-index:-251644928;mso-position-horizontal-relative:text;mso-position-vertical-relative:text" o:userdrawn="t" fillcolor="#231f20" strokecolor="none"/>
        </w:pict>
      </w:r>
    </w:p>
    <w:p w:rsidR="005E70B5" w:rsidRDefault="005E70B5" w:rsidP="005E70B5">
      <w:pPr>
        <w:spacing w:line="200" w:lineRule="exact"/>
        <w:rPr>
          <w:rFonts w:ascii="Times New Roman" w:eastAsia="Times New Roman" w:hAnsi="Times New Roman"/>
        </w:rPr>
      </w:pPr>
    </w:p>
    <w:p w:rsidR="005E70B5" w:rsidRDefault="005E70B5" w:rsidP="005E70B5">
      <w:pPr>
        <w:spacing w:line="200" w:lineRule="exact"/>
        <w:rPr>
          <w:rFonts w:ascii="Times New Roman" w:eastAsia="Times New Roman" w:hAnsi="Times New Roman"/>
        </w:rPr>
      </w:pPr>
    </w:p>
    <w:p w:rsidR="005E70B5" w:rsidRDefault="005E70B5" w:rsidP="005E70B5">
      <w:pPr>
        <w:spacing w:line="227" w:lineRule="exact"/>
        <w:rPr>
          <w:rFonts w:ascii="Times New Roman" w:eastAsia="Times New Roman" w:hAnsi="Times New Roman"/>
        </w:rPr>
      </w:pPr>
    </w:p>
    <w:p w:rsidR="005E70B5" w:rsidRDefault="005E70B5" w:rsidP="005E70B5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446</w:t>
      </w:r>
    </w:p>
    <w:p w:rsidR="005E70B5" w:rsidRDefault="005E70B5" w:rsidP="005E70B5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5E70B5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5E70B5" w:rsidRDefault="005E70B5" w:rsidP="005E70B5">
      <w:pPr>
        <w:spacing w:line="200" w:lineRule="exact"/>
        <w:rPr>
          <w:rFonts w:ascii="Times New Roman" w:eastAsia="Times New Roman" w:hAnsi="Times New Roman"/>
        </w:rPr>
      </w:pPr>
      <w:bookmarkStart w:id="2" w:name="page453"/>
      <w:bookmarkEnd w:id="2"/>
    </w:p>
    <w:p w:rsidR="005E70B5" w:rsidRDefault="005E70B5" w:rsidP="005E70B5">
      <w:pPr>
        <w:spacing w:line="200" w:lineRule="exact"/>
        <w:rPr>
          <w:rFonts w:ascii="Times New Roman" w:eastAsia="Times New Roman" w:hAnsi="Times New Roman"/>
        </w:rPr>
      </w:pPr>
    </w:p>
    <w:p w:rsidR="005E70B5" w:rsidRDefault="005E70B5" w:rsidP="005E70B5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7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80"/>
        <w:gridCol w:w="1760"/>
        <w:gridCol w:w="2700"/>
        <w:gridCol w:w="3940"/>
      </w:tblGrid>
      <w:tr w:rsidR="005E70B5" w:rsidTr="00530DE5">
        <w:trPr>
          <w:trHeight w:val="288"/>
        </w:trPr>
        <w:tc>
          <w:tcPr>
            <w:tcW w:w="9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2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0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16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完善学历教育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增强人才培养的针对性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30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四、中医药人才培养与科学研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鼓励中医药师承教育</w:t>
            </w:r>
          </w:p>
        </w:tc>
      </w:tr>
      <w:tr w:rsidR="005E70B5" w:rsidTr="00530DE5">
        <w:trPr>
          <w:trHeight w:val="2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0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究、中医药传承与文化传播</w:t>
            </w: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5E70B5" w:rsidTr="00530DE5">
        <w:trPr>
          <w:trHeight w:val="20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鼓励中医药科学研究</w:t>
            </w:r>
          </w:p>
        </w:tc>
      </w:tr>
      <w:tr w:rsidR="005E70B5" w:rsidTr="00530DE5">
        <w:trPr>
          <w:trHeight w:val="50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中医药传承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第八单元</w:t>
            </w:r>
          </w:p>
        </w:tc>
        <w:tc>
          <w:tcPr>
            <w:tcW w:w="17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《中华人民共和国中</w:t>
            </w: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131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中医药文化传播</w:t>
            </w:r>
          </w:p>
        </w:tc>
      </w:tr>
      <w:tr w:rsidR="005E70B5" w:rsidTr="00530DE5">
        <w:trPr>
          <w:trHeight w:val="127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医药法》</w:t>
            </w: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E70B5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中医药事业发展的政策支持与条件保障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中医药标准体系规定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五、保障措施与法律责任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中医药行政部门的法律责任</w:t>
            </w:r>
          </w:p>
        </w:tc>
      </w:tr>
      <w:tr w:rsidR="005E70B5" w:rsidTr="00530DE5">
        <w:trPr>
          <w:trHeight w:val="7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中医医疗机构的法律责任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中医医师（考核取得）的法律责任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总则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6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医疗机构从业人员基本行为规范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6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管理人员行为规范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6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医师行为规范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第九单元</w:t>
            </w:r>
          </w:p>
        </w:tc>
        <w:tc>
          <w:tcPr>
            <w:tcW w:w="17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《医疗机构从业人员</w:t>
            </w: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141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7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70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医疗机构从业人员行为规范</w:t>
            </w: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护士行为规范</w:t>
            </w:r>
          </w:p>
        </w:tc>
      </w:tr>
      <w:tr w:rsidR="005E70B5" w:rsidTr="00530DE5">
        <w:trPr>
          <w:trHeight w:val="127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194" w:lineRule="exact"/>
              <w:ind w:left="140"/>
              <w:rPr>
                <w:rFonts w:ascii="宋体" w:eastAsia="宋体" w:hAnsi="宋体"/>
                <w:w w:val="96"/>
                <w:sz w:val="17"/>
              </w:rPr>
            </w:pPr>
            <w:r>
              <w:rPr>
                <w:rFonts w:ascii="宋体" w:eastAsia="宋体" w:hAnsi="宋体"/>
                <w:w w:val="96"/>
                <w:sz w:val="17"/>
              </w:rPr>
              <w:t>行为规范》</w:t>
            </w: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5E70B5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6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医技人员行为规范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6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药学技术人员行为规范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6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其他人员行为规范</w:t>
            </w:r>
          </w:p>
        </w:tc>
      </w:tr>
      <w:tr w:rsidR="005E70B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5E70B5" w:rsidTr="00530DE5">
        <w:trPr>
          <w:trHeight w:val="26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7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9.</w:t>
            </w:r>
            <w:r>
              <w:rPr>
                <w:rFonts w:ascii="宋体" w:eastAsia="宋体" w:hAnsi="宋体"/>
                <w:sz w:val="17"/>
              </w:rPr>
              <w:t>实施与监督</w:t>
            </w:r>
          </w:p>
        </w:tc>
      </w:tr>
      <w:tr w:rsidR="005E70B5" w:rsidTr="00530DE5">
        <w:trPr>
          <w:trHeight w:val="74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5E70B5" w:rsidRDefault="005E70B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5E70B5" w:rsidRDefault="005E70B5" w:rsidP="005E70B5">
      <w:pPr>
        <w:spacing w:line="200" w:lineRule="exact"/>
        <w:rPr>
          <w:rFonts w:ascii="Times New Roman" w:eastAsia="Times New Roman" w:hAnsi="Times New Roman"/>
        </w:rPr>
      </w:pPr>
    </w:p>
    <w:p w:rsidR="00514E47" w:rsidRDefault="00514E47"/>
    <w:sectPr w:rsidR="00514E47" w:rsidSect="00514E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1BEA" w:rsidRDefault="00A21BEA" w:rsidP="005E70B5">
      <w:r>
        <w:separator/>
      </w:r>
    </w:p>
  </w:endnote>
  <w:endnote w:type="continuationSeparator" w:id="0">
    <w:p w:rsidR="00A21BEA" w:rsidRDefault="00A21BEA" w:rsidP="005E70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1BEA" w:rsidRDefault="00A21BEA" w:rsidP="005E70B5">
      <w:r>
        <w:separator/>
      </w:r>
    </w:p>
  </w:footnote>
  <w:footnote w:type="continuationSeparator" w:id="0">
    <w:p w:rsidR="00A21BEA" w:rsidRDefault="00A21BEA" w:rsidP="005E70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70B5"/>
    <w:rsid w:val="00033A79"/>
    <w:rsid w:val="000A274A"/>
    <w:rsid w:val="001306D8"/>
    <w:rsid w:val="001C465F"/>
    <w:rsid w:val="00223DDF"/>
    <w:rsid w:val="002260F9"/>
    <w:rsid w:val="00245D20"/>
    <w:rsid w:val="002661F6"/>
    <w:rsid w:val="00291314"/>
    <w:rsid w:val="003327FA"/>
    <w:rsid w:val="003355A6"/>
    <w:rsid w:val="00336B99"/>
    <w:rsid w:val="00346AAC"/>
    <w:rsid w:val="003834B6"/>
    <w:rsid w:val="003A0611"/>
    <w:rsid w:val="003A2BEA"/>
    <w:rsid w:val="003D627D"/>
    <w:rsid w:val="004429B2"/>
    <w:rsid w:val="00467D9C"/>
    <w:rsid w:val="004904A8"/>
    <w:rsid w:val="004D0CC3"/>
    <w:rsid w:val="004E5BFC"/>
    <w:rsid w:val="004F62BD"/>
    <w:rsid w:val="00512C2E"/>
    <w:rsid w:val="00514E47"/>
    <w:rsid w:val="005229CE"/>
    <w:rsid w:val="00560BF3"/>
    <w:rsid w:val="005E70B5"/>
    <w:rsid w:val="006000CE"/>
    <w:rsid w:val="00602332"/>
    <w:rsid w:val="00655E95"/>
    <w:rsid w:val="006A2078"/>
    <w:rsid w:val="00710F5F"/>
    <w:rsid w:val="00722A20"/>
    <w:rsid w:val="007324E6"/>
    <w:rsid w:val="00760265"/>
    <w:rsid w:val="007773E4"/>
    <w:rsid w:val="007A6A4A"/>
    <w:rsid w:val="007C651C"/>
    <w:rsid w:val="00810D76"/>
    <w:rsid w:val="008206CD"/>
    <w:rsid w:val="00836D74"/>
    <w:rsid w:val="00866B9E"/>
    <w:rsid w:val="00880265"/>
    <w:rsid w:val="008E4F24"/>
    <w:rsid w:val="00933D94"/>
    <w:rsid w:val="00991C5D"/>
    <w:rsid w:val="00A1357E"/>
    <w:rsid w:val="00A1768B"/>
    <w:rsid w:val="00A21BEA"/>
    <w:rsid w:val="00A27EC6"/>
    <w:rsid w:val="00A36A92"/>
    <w:rsid w:val="00A823D7"/>
    <w:rsid w:val="00A977D3"/>
    <w:rsid w:val="00AB5A8C"/>
    <w:rsid w:val="00AE1F4C"/>
    <w:rsid w:val="00B05B1E"/>
    <w:rsid w:val="00B62333"/>
    <w:rsid w:val="00B754B9"/>
    <w:rsid w:val="00B85CB6"/>
    <w:rsid w:val="00BA4D95"/>
    <w:rsid w:val="00BB51F9"/>
    <w:rsid w:val="00BF509B"/>
    <w:rsid w:val="00C452CC"/>
    <w:rsid w:val="00C7538D"/>
    <w:rsid w:val="00C75569"/>
    <w:rsid w:val="00C84DFD"/>
    <w:rsid w:val="00C96ACD"/>
    <w:rsid w:val="00CB1A18"/>
    <w:rsid w:val="00CB3E82"/>
    <w:rsid w:val="00CD6215"/>
    <w:rsid w:val="00CE0B05"/>
    <w:rsid w:val="00CF006D"/>
    <w:rsid w:val="00D06FAD"/>
    <w:rsid w:val="00D50DAD"/>
    <w:rsid w:val="00D71066"/>
    <w:rsid w:val="00E27235"/>
    <w:rsid w:val="00E412E1"/>
    <w:rsid w:val="00E853E0"/>
    <w:rsid w:val="00E90D16"/>
    <w:rsid w:val="00E9717C"/>
    <w:rsid w:val="00ED20C8"/>
    <w:rsid w:val="00EE31BD"/>
    <w:rsid w:val="00EF27F8"/>
    <w:rsid w:val="00F12EA6"/>
    <w:rsid w:val="00F47441"/>
    <w:rsid w:val="00F64AB5"/>
    <w:rsid w:val="00F833E7"/>
    <w:rsid w:val="00FA1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0B5"/>
    <w:rPr>
      <w:rFonts w:ascii="Calibri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E70B5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E70B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E70B5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E70B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539</Words>
  <Characters>3078</Characters>
  <Application>Microsoft Office Word</Application>
  <DocSecurity>0</DocSecurity>
  <Lines>25</Lines>
  <Paragraphs>7</Paragraphs>
  <ScaleCrop>false</ScaleCrop>
  <Company/>
  <LinksUpToDate>false</LinksUpToDate>
  <CharactersWithSpaces>3610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2020-01-21T07:23:00Z</dcterms:created>
  <dcterms:modified xsi:type="dcterms:W3CDTF">2020-01-21T07:23:00Z</dcterms:modified>
</cp:coreProperties>
</file>