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tbl>
      <w:tblPr>
        <w:tblpPr w:vertAnchor="text" w:tblpXSpec="left"/>
        <w:tblW w:w="839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1"/>
        <w:gridCol w:w="2080"/>
        <w:gridCol w:w="1485"/>
        <w:gridCol w:w="1050"/>
        <w:gridCol w:w="1515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ascii="仿宋" w:hAnsi="仿宋" w:eastAsia="仿宋" w:cs="仿宋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0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专业名称</w:t>
            </w:r>
          </w:p>
        </w:tc>
        <w:tc>
          <w:tcPr>
            <w:tcW w:w="1485" w:type="dxa"/>
            <w:tcBorders>
              <w:top w:val="single" w:color="auto" w:sz="6" w:space="0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招生计划</w:t>
            </w:r>
          </w:p>
        </w:tc>
        <w:tc>
          <w:tcPr>
            <w:tcW w:w="10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5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专业名称</w:t>
            </w:r>
          </w:p>
        </w:tc>
        <w:tc>
          <w:tcPr>
            <w:tcW w:w="13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招生计划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9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全科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（含定向生</w:t>
            </w: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  <w:lang w:val="en-US"/>
              </w:rPr>
              <w:t>23</w:t>
            </w:r>
            <w:r>
              <w:rPr>
                <w:rFonts w:hint="eastAsia" w:ascii="仿宋" w:hAnsi="仿宋" w:eastAsia="仿宋" w:cs="仿宋"/>
                <w:color w:val="000000"/>
                <w:bdr w:val="none" w:color="auto" w:sz="0" w:space="0"/>
              </w:rPr>
              <w:t>名）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23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18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重症医学科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儿科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10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19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皮肤科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精神科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20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检验医学科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妇产科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10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21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放射肿瘤科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内科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25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22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康复医学科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6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外科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18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23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放射科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麻醉科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17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24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临床病理科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8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急诊科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25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核医学科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神经内科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26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超声医学科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10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外科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神经外科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27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口腔全科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11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外科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胸心外科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28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口腔修复科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12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外科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泌尿外科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29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口腔内科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13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外科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整形外科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30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口腔正畸科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14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骨科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31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口腔颌面外科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15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小儿外科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32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口腔病理科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16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眼科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33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口腔颌面影像科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  <w:lang w:val="en-US"/>
              </w:rPr>
              <w:t>17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耳鼻喉科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412A77"/>
    <w:rsid w:val="2A412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2020-06-27T10:59:00Z</dcterms:created>
  <dc:creator>安城如沫</dc:creator>
  <cp:lastModifiedBy>安城如沫</cp:lastModifiedBy>
  <dcterms:modified xsi:type="dcterms:W3CDTF">2020-06-27T11:01:06Z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