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both"/>
        <w:rPr>
          <w:rFonts w:ascii="Calibri" w:hAnsi="Calibri" w:cs="Calibri"/>
          <w:i w:val="0"/>
          <w:caps w:val="0"/>
          <w:color w:val="333333"/>
          <w:spacing w:val="0"/>
          <w:sz w:val="21"/>
          <w:szCs w:val="21"/>
        </w:rPr>
      </w:pPr>
      <w:r>
        <w:rPr>
          <w:rFonts w:ascii="黑体" w:hAnsi="宋体" w:eastAsia="黑体" w:cs="黑体"/>
          <w:i w:val="0"/>
          <w:caps w:val="0"/>
          <w:color w:val="333333"/>
          <w:spacing w:val="0"/>
          <w:sz w:val="28"/>
          <w:szCs w:val="28"/>
          <w:bdr w:val="none" w:color="auto" w:sz="0" w:space="0"/>
          <w:shd w:val="clear" w:fill="FFFFFF"/>
        </w:rPr>
        <w:t>附件</w:t>
      </w:r>
      <w:r>
        <w:rPr>
          <w:rFonts w:hint="eastAsia" w:ascii="黑体" w:hAnsi="宋体" w:eastAsia="黑体" w:cs="黑体"/>
          <w:i w:val="0"/>
          <w:caps w:val="0"/>
          <w:color w:val="333333"/>
          <w:spacing w:val="0"/>
          <w:sz w:val="28"/>
          <w:szCs w:val="28"/>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both"/>
        <w:rPr>
          <w:rFonts w:hint="default" w:ascii="Calibri" w:hAnsi="Calibri" w:cs="Calibri"/>
          <w:i w:val="0"/>
          <w:caps w:val="0"/>
          <w:color w:val="333333"/>
          <w:spacing w:val="0"/>
          <w:sz w:val="21"/>
          <w:szCs w:val="21"/>
        </w:rPr>
      </w:pPr>
      <w:r>
        <w:rPr>
          <w:rFonts w:ascii="仿宋" w:hAnsi="仿宋" w:eastAsia="仿宋" w:cs="仿宋"/>
          <w:i w:val="0"/>
          <w:caps w:val="0"/>
          <w:color w:val="333333"/>
          <w:spacing w:val="0"/>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center"/>
        <w:rPr>
          <w:rFonts w:hint="default" w:ascii="Calibri" w:hAnsi="Calibri" w:cs="Calibri"/>
          <w:i w:val="0"/>
          <w:caps w:val="0"/>
          <w:color w:val="333333"/>
          <w:spacing w:val="0"/>
          <w:sz w:val="21"/>
          <w:szCs w:val="21"/>
        </w:rPr>
      </w:pPr>
      <w:r>
        <w:rPr>
          <w:rFonts w:ascii="方正小标宋简体" w:hAnsi="方正小标宋简体" w:eastAsia="方正小标宋简体" w:cs="方正小标宋简体"/>
          <w:i w:val="0"/>
          <w:caps w:val="0"/>
          <w:color w:val="333333"/>
          <w:spacing w:val="0"/>
          <w:sz w:val="28"/>
          <w:szCs w:val="28"/>
          <w:bdr w:val="none" w:color="auto" w:sz="0" w:space="0"/>
          <w:shd w:val="clear" w:fill="FFFFFF"/>
        </w:rPr>
        <w:t>2020</w:t>
      </w:r>
      <w:r>
        <w:rPr>
          <w:rFonts w:hint="default" w:ascii="方正小标宋简体" w:hAnsi="方正小标宋简体" w:eastAsia="方正小标宋简体" w:cs="方正小标宋简体"/>
          <w:i w:val="0"/>
          <w:caps w:val="0"/>
          <w:color w:val="333333"/>
          <w:spacing w:val="0"/>
          <w:sz w:val="28"/>
          <w:szCs w:val="28"/>
          <w:bdr w:val="none" w:color="auto" w:sz="0" w:space="0"/>
          <w:shd w:val="clear" w:fill="FFFFFF"/>
        </w:rPr>
        <w:t>年江西考区医师资格考试实践技能考试工作安排</w:t>
      </w:r>
    </w:p>
    <w:tbl>
      <w:tblPr>
        <w:tblpPr w:leftFromText="180" w:rightFromText="180" w:vertAnchor="text" w:horzAnchor="page" w:tblpX="406" w:tblpY="627"/>
        <w:tblOverlap w:val="never"/>
        <w:tblW w:w="16515" w:type="dxa"/>
        <w:tblInd w:w="0" w:type="dxa"/>
        <w:shd w:val="clear" w:color="auto" w:fill="FFFFFF"/>
        <w:tblLayout w:type="autofit"/>
        <w:tblCellMar>
          <w:top w:w="0" w:type="dxa"/>
          <w:left w:w="0" w:type="dxa"/>
          <w:bottom w:w="0" w:type="dxa"/>
          <w:right w:w="0" w:type="dxa"/>
        </w:tblCellMar>
      </w:tblPr>
      <w:tblGrid>
        <w:gridCol w:w="3201"/>
        <w:gridCol w:w="2191"/>
        <w:gridCol w:w="3539"/>
        <w:gridCol w:w="7584"/>
      </w:tblGrid>
      <w:tr>
        <w:tblPrEx>
          <w:tblCellMar>
            <w:top w:w="0" w:type="dxa"/>
            <w:left w:w="0" w:type="dxa"/>
            <w:bottom w:w="0" w:type="dxa"/>
            <w:right w:w="0" w:type="dxa"/>
          </w:tblCellMar>
        </w:tblPrEx>
        <w:trPr>
          <w:trHeight w:val="499" w:hRule="atLeast"/>
        </w:trPr>
        <w:tc>
          <w:tcPr>
            <w:tcW w:w="969" w:type="pct"/>
            <w:tcBorders>
              <w:top w:val="single" w:color="auto" w:sz="8" w:space="0"/>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bookmarkStart w:id="0" w:name="_GoBack"/>
            <w:bookmarkEnd w:id="0"/>
            <w:r>
              <w:rPr>
                <w:rFonts w:hint="eastAsia" w:ascii="宋体" w:hAnsi="宋体" w:eastAsia="宋体" w:cs="宋体"/>
                <w:b/>
                <w:i w:val="0"/>
                <w:caps w:val="0"/>
                <w:color w:val="333333"/>
                <w:spacing w:val="0"/>
                <w:sz w:val="24"/>
                <w:szCs w:val="24"/>
                <w:bdr w:val="none" w:color="auto" w:sz="0" w:space="0"/>
              </w:rPr>
              <w:t>考试类别</w:t>
            </w:r>
          </w:p>
        </w:tc>
        <w:tc>
          <w:tcPr>
            <w:tcW w:w="663" w:type="pct"/>
            <w:tcBorders>
              <w:top w:val="single" w:color="auto" w:sz="8" w:space="0"/>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4"/>
                <w:szCs w:val="24"/>
                <w:bdr w:val="none" w:color="auto" w:sz="0" w:space="0"/>
              </w:rPr>
              <w:t>考试时间</w:t>
            </w:r>
          </w:p>
        </w:tc>
        <w:tc>
          <w:tcPr>
            <w:tcW w:w="1071" w:type="pct"/>
            <w:tcBorders>
              <w:top w:val="single" w:color="auto" w:sz="8" w:space="0"/>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4"/>
                <w:szCs w:val="24"/>
                <w:bdr w:val="none" w:color="auto" w:sz="0" w:space="0"/>
              </w:rPr>
              <w:t>考试基地</w:t>
            </w:r>
          </w:p>
        </w:tc>
        <w:tc>
          <w:tcPr>
            <w:tcW w:w="2295" w:type="pct"/>
            <w:tcBorders>
              <w:top w:val="single" w:color="auto" w:sz="8" w:space="0"/>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宋体" w:hAnsi="宋体" w:eastAsia="宋体" w:cs="宋体"/>
                <w:b/>
                <w:i w:val="0"/>
                <w:caps w:val="0"/>
                <w:color w:val="333333"/>
                <w:spacing w:val="0"/>
                <w:sz w:val="24"/>
                <w:szCs w:val="24"/>
                <w:bdr w:val="none" w:color="auto" w:sz="0" w:space="0"/>
              </w:rPr>
              <w:t>考生来源</w:t>
            </w:r>
          </w:p>
        </w:tc>
      </w:tr>
      <w:tr>
        <w:tblPrEx>
          <w:shd w:val="clear" w:color="auto" w:fill="FFFFFF"/>
          <w:tblCellMar>
            <w:top w:w="0" w:type="dxa"/>
            <w:left w:w="0" w:type="dxa"/>
            <w:bottom w:w="0" w:type="dxa"/>
            <w:right w:w="0" w:type="dxa"/>
          </w:tblCellMar>
        </w:tblPrEx>
        <w:trPr>
          <w:trHeight w:val="379" w:hRule="atLeast"/>
        </w:trPr>
        <w:tc>
          <w:tcPr>
            <w:tcW w:w="969" w:type="pct"/>
            <w:vMerge w:val="restart"/>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临床类别</w:t>
            </w:r>
          </w:p>
        </w:tc>
        <w:tc>
          <w:tcPr>
            <w:tcW w:w="663" w:type="pct"/>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7月10日-23日</w:t>
            </w: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江西卫生职业学院</w:t>
            </w:r>
          </w:p>
        </w:tc>
        <w:tc>
          <w:tcPr>
            <w:tcW w:w="2295"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南昌考点、省直考点、上饶考点</w:t>
            </w:r>
          </w:p>
        </w:tc>
      </w:tr>
      <w:tr>
        <w:tblPrEx>
          <w:tblCellMar>
            <w:top w:w="0" w:type="dxa"/>
            <w:left w:w="0" w:type="dxa"/>
            <w:bottom w:w="0" w:type="dxa"/>
            <w:right w:w="0" w:type="dxa"/>
          </w:tblCellMar>
        </w:tblPrEx>
        <w:trPr>
          <w:trHeight w:val="379" w:hRule="atLeast"/>
        </w:trPr>
        <w:tc>
          <w:tcPr>
            <w:tcW w:w="969" w:type="pct"/>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663" w:type="pct"/>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九江学院附属医院</w:t>
            </w:r>
          </w:p>
        </w:tc>
        <w:tc>
          <w:tcPr>
            <w:tcW w:w="2295"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九江考点、景德镇考点</w:t>
            </w:r>
          </w:p>
        </w:tc>
      </w:tr>
      <w:tr>
        <w:tblPrEx>
          <w:shd w:val="clear" w:color="auto" w:fill="FFFFFF"/>
          <w:tblCellMar>
            <w:top w:w="0" w:type="dxa"/>
            <w:left w:w="0" w:type="dxa"/>
            <w:bottom w:w="0" w:type="dxa"/>
            <w:right w:w="0" w:type="dxa"/>
          </w:tblCellMar>
        </w:tblPrEx>
        <w:trPr>
          <w:trHeight w:val="379" w:hRule="atLeast"/>
        </w:trPr>
        <w:tc>
          <w:tcPr>
            <w:tcW w:w="969" w:type="pct"/>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663" w:type="pct"/>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赣南卫生健康职业学院</w:t>
            </w:r>
          </w:p>
        </w:tc>
        <w:tc>
          <w:tcPr>
            <w:tcW w:w="2295"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赣州考点</w:t>
            </w:r>
          </w:p>
        </w:tc>
      </w:tr>
      <w:tr>
        <w:tblPrEx>
          <w:shd w:val="clear" w:color="auto" w:fill="FFFFFF"/>
          <w:tblCellMar>
            <w:top w:w="0" w:type="dxa"/>
            <w:left w:w="0" w:type="dxa"/>
            <w:bottom w:w="0" w:type="dxa"/>
            <w:right w:w="0" w:type="dxa"/>
          </w:tblCellMar>
        </w:tblPrEx>
        <w:trPr>
          <w:trHeight w:val="379" w:hRule="atLeast"/>
        </w:trPr>
        <w:tc>
          <w:tcPr>
            <w:tcW w:w="969" w:type="pct"/>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663" w:type="pct"/>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宜春市人民医院</w:t>
            </w:r>
          </w:p>
        </w:tc>
        <w:tc>
          <w:tcPr>
            <w:tcW w:w="2295"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宜春考点、萍乡考点、新余考点、鹰潭考点</w:t>
            </w:r>
          </w:p>
        </w:tc>
      </w:tr>
      <w:tr>
        <w:tblPrEx>
          <w:shd w:val="clear" w:color="auto" w:fill="FFFFFF"/>
          <w:tblCellMar>
            <w:top w:w="0" w:type="dxa"/>
            <w:left w:w="0" w:type="dxa"/>
            <w:bottom w:w="0" w:type="dxa"/>
            <w:right w:w="0" w:type="dxa"/>
          </w:tblCellMar>
        </w:tblPrEx>
        <w:trPr>
          <w:trHeight w:val="379" w:hRule="atLeast"/>
        </w:trPr>
        <w:tc>
          <w:tcPr>
            <w:tcW w:w="969" w:type="pct"/>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663" w:type="pct"/>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井冈山大学医学部</w:t>
            </w:r>
          </w:p>
        </w:tc>
        <w:tc>
          <w:tcPr>
            <w:tcW w:w="2295"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吉安考点、抚州考点</w:t>
            </w:r>
          </w:p>
        </w:tc>
      </w:tr>
      <w:tr>
        <w:tblPrEx>
          <w:tblCellMar>
            <w:top w:w="0" w:type="dxa"/>
            <w:left w:w="0" w:type="dxa"/>
            <w:bottom w:w="0" w:type="dxa"/>
            <w:right w:w="0" w:type="dxa"/>
          </w:tblCellMar>
        </w:tblPrEx>
        <w:trPr>
          <w:trHeight w:val="622" w:hRule="atLeast"/>
        </w:trPr>
        <w:tc>
          <w:tcPr>
            <w:tcW w:w="969" w:type="pct"/>
            <w:vMerge w:val="restart"/>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中医类别</w:t>
            </w:r>
          </w:p>
        </w:tc>
        <w:tc>
          <w:tcPr>
            <w:tcW w:w="663" w:type="pct"/>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7月11日-19日</w:t>
            </w: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南昌市洪都中医院</w:t>
            </w:r>
          </w:p>
        </w:tc>
        <w:tc>
          <w:tcPr>
            <w:tcW w:w="2295" w:type="pc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南昌考点、九江考点、景德镇考点、宜春考点、萍乡考点、新余考点、鹰潭考点、上饶考点、省直考点</w:t>
            </w:r>
          </w:p>
        </w:tc>
      </w:tr>
      <w:tr>
        <w:tblPrEx>
          <w:tblCellMar>
            <w:top w:w="0" w:type="dxa"/>
            <w:left w:w="0" w:type="dxa"/>
            <w:bottom w:w="0" w:type="dxa"/>
            <w:right w:w="0" w:type="dxa"/>
          </w:tblCellMar>
        </w:tblPrEx>
        <w:trPr>
          <w:trHeight w:val="379" w:hRule="atLeast"/>
        </w:trPr>
        <w:tc>
          <w:tcPr>
            <w:tcW w:w="969" w:type="pct"/>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663" w:type="pct"/>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赣南卫生健康职业学院</w:t>
            </w:r>
          </w:p>
        </w:tc>
        <w:tc>
          <w:tcPr>
            <w:tcW w:w="2295"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赣州考点</w:t>
            </w:r>
          </w:p>
        </w:tc>
      </w:tr>
      <w:tr>
        <w:tblPrEx>
          <w:shd w:val="clear" w:color="auto" w:fill="FFFFFF"/>
          <w:tblCellMar>
            <w:top w:w="0" w:type="dxa"/>
            <w:left w:w="0" w:type="dxa"/>
            <w:bottom w:w="0" w:type="dxa"/>
            <w:right w:w="0" w:type="dxa"/>
          </w:tblCellMar>
        </w:tblPrEx>
        <w:trPr>
          <w:trHeight w:val="379" w:hRule="atLeast"/>
        </w:trPr>
        <w:tc>
          <w:tcPr>
            <w:tcW w:w="969" w:type="pct"/>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663" w:type="pct"/>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江西中医药高等专科学校</w:t>
            </w:r>
          </w:p>
        </w:tc>
        <w:tc>
          <w:tcPr>
            <w:tcW w:w="2295"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抚州考点、吉安考点</w:t>
            </w:r>
          </w:p>
        </w:tc>
      </w:tr>
      <w:tr>
        <w:tblPrEx>
          <w:tblCellMar>
            <w:top w:w="0" w:type="dxa"/>
            <w:left w:w="0" w:type="dxa"/>
            <w:bottom w:w="0" w:type="dxa"/>
            <w:right w:w="0" w:type="dxa"/>
          </w:tblCellMar>
        </w:tblPrEx>
        <w:trPr>
          <w:trHeight w:val="480" w:hRule="atLeast"/>
        </w:trPr>
        <w:tc>
          <w:tcPr>
            <w:tcW w:w="969" w:type="pct"/>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口腔类别</w:t>
            </w:r>
          </w:p>
        </w:tc>
        <w:tc>
          <w:tcPr>
            <w:tcW w:w="663"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7月11日-19日</w:t>
            </w: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南昌大学附属口腔医院</w:t>
            </w:r>
          </w:p>
        </w:tc>
        <w:tc>
          <w:tcPr>
            <w:tcW w:w="2295"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全省</w:t>
            </w:r>
          </w:p>
        </w:tc>
      </w:tr>
      <w:tr>
        <w:tblPrEx>
          <w:shd w:val="clear" w:color="auto" w:fill="FFFFFF"/>
          <w:tblCellMar>
            <w:top w:w="0" w:type="dxa"/>
            <w:left w:w="0" w:type="dxa"/>
            <w:bottom w:w="0" w:type="dxa"/>
            <w:right w:w="0" w:type="dxa"/>
          </w:tblCellMar>
        </w:tblPrEx>
        <w:trPr>
          <w:trHeight w:val="522" w:hRule="atLeast"/>
        </w:trPr>
        <w:tc>
          <w:tcPr>
            <w:tcW w:w="969" w:type="pct"/>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公卫类别</w:t>
            </w:r>
          </w:p>
        </w:tc>
        <w:tc>
          <w:tcPr>
            <w:tcW w:w="663"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7月11日-12日</w:t>
            </w: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江西卫生职业学院</w:t>
            </w:r>
          </w:p>
        </w:tc>
        <w:tc>
          <w:tcPr>
            <w:tcW w:w="2295"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全省</w:t>
            </w:r>
          </w:p>
        </w:tc>
      </w:tr>
      <w:tr>
        <w:tblPrEx>
          <w:shd w:val="clear" w:color="auto" w:fill="FFFFFF"/>
          <w:tblCellMar>
            <w:top w:w="0" w:type="dxa"/>
            <w:left w:w="0" w:type="dxa"/>
            <w:bottom w:w="0" w:type="dxa"/>
            <w:right w:w="0" w:type="dxa"/>
          </w:tblCellMar>
        </w:tblPrEx>
        <w:trPr>
          <w:trHeight w:val="379" w:hRule="atLeast"/>
        </w:trPr>
        <w:tc>
          <w:tcPr>
            <w:tcW w:w="969" w:type="pct"/>
            <w:vMerge w:val="restart"/>
            <w:tcBorders>
              <w:top w:val="nil"/>
              <w:left w:val="single" w:color="auto" w:sz="8" w:space="0"/>
              <w:bottom w:val="single" w:color="000000"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乡村全科执业助理医师</w:t>
            </w:r>
          </w:p>
        </w:tc>
        <w:tc>
          <w:tcPr>
            <w:tcW w:w="663" w:type="pct"/>
            <w:vMerge w:val="restart"/>
            <w:tcBorders>
              <w:top w:val="nil"/>
              <w:left w:val="nil"/>
              <w:bottom w:val="single" w:color="000000"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7月23日-29日</w:t>
            </w: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江西卫生职业学院</w:t>
            </w:r>
          </w:p>
        </w:tc>
        <w:tc>
          <w:tcPr>
            <w:tcW w:w="2295"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南昌考点、省直考点、上饶考点</w:t>
            </w:r>
          </w:p>
        </w:tc>
      </w:tr>
      <w:tr>
        <w:tblPrEx>
          <w:shd w:val="clear" w:color="auto" w:fill="FFFFFF"/>
          <w:tblCellMar>
            <w:top w:w="0" w:type="dxa"/>
            <w:left w:w="0" w:type="dxa"/>
            <w:bottom w:w="0" w:type="dxa"/>
            <w:right w:w="0" w:type="dxa"/>
          </w:tblCellMar>
        </w:tblPrEx>
        <w:trPr>
          <w:trHeight w:val="379" w:hRule="atLeast"/>
        </w:trPr>
        <w:tc>
          <w:tcPr>
            <w:tcW w:w="969" w:type="pct"/>
            <w:vMerge w:val="continue"/>
            <w:tcBorders>
              <w:top w:val="nil"/>
              <w:left w:val="single" w:color="auto" w:sz="8" w:space="0"/>
              <w:bottom w:val="single" w:color="000000"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663" w:type="pct"/>
            <w:vMerge w:val="continue"/>
            <w:tcBorders>
              <w:top w:val="nil"/>
              <w:left w:val="nil"/>
              <w:bottom w:val="single" w:color="000000"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九江学院附属医院</w:t>
            </w:r>
          </w:p>
        </w:tc>
        <w:tc>
          <w:tcPr>
            <w:tcW w:w="2295"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九江考点、景德镇考点</w:t>
            </w:r>
          </w:p>
        </w:tc>
      </w:tr>
      <w:tr>
        <w:tblPrEx>
          <w:shd w:val="clear" w:color="auto" w:fill="FFFFFF"/>
          <w:tblCellMar>
            <w:top w:w="0" w:type="dxa"/>
            <w:left w:w="0" w:type="dxa"/>
            <w:bottom w:w="0" w:type="dxa"/>
            <w:right w:w="0" w:type="dxa"/>
          </w:tblCellMar>
        </w:tblPrEx>
        <w:trPr>
          <w:trHeight w:val="379" w:hRule="atLeast"/>
        </w:trPr>
        <w:tc>
          <w:tcPr>
            <w:tcW w:w="969" w:type="pct"/>
            <w:vMerge w:val="continue"/>
            <w:tcBorders>
              <w:top w:val="nil"/>
              <w:left w:val="single" w:color="auto" w:sz="8" w:space="0"/>
              <w:bottom w:val="single" w:color="000000"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663" w:type="pct"/>
            <w:vMerge w:val="continue"/>
            <w:tcBorders>
              <w:top w:val="nil"/>
              <w:left w:val="nil"/>
              <w:bottom w:val="single" w:color="000000"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赣南卫生健康职业学院</w:t>
            </w:r>
          </w:p>
        </w:tc>
        <w:tc>
          <w:tcPr>
            <w:tcW w:w="2295"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赣州考点</w:t>
            </w:r>
          </w:p>
        </w:tc>
      </w:tr>
      <w:tr>
        <w:tblPrEx>
          <w:tblCellMar>
            <w:top w:w="0" w:type="dxa"/>
            <w:left w:w="0" w:type="dxa"/>
            <w:bottom w:w="0" w:type="dxa"/>
            <w:right w:w="0" w:type="dxa"/>
          </w:tblCellMar>
        </w:tblPrEx>
        <w:trPr>
          <w:trHeight w:val="379" w:hRule="atLeast"/>
        </w:trPr>
        <w:tc>
          <w:tcPr>
            <w:tcW w:w="969" w:type="pct"/>
            <w:vMerge w:val="continue"/>
            <w:tcBorders>
              <w:top w:val="nil"/>
              <w:left w:val="single" w:color="auto" w:sz="8" w:space="0"/>
              <w:bottom w:val="single" w:color="000000"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663" w:type="pct"/>
            <w:vMerge w:val="continue"/>
            <w:tcBorders>
              <w:top w:val="nil"/>
              <w:left w:val="nil"/>
              <w:bottom w:val="single" w:color="000000"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宜春市人民医院</w:t>
            </w:r>
          </w:p>
        </w:tc>
        <w:tc>
          <w:tcPr>
            <w:tcW w:w="2295"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宜春考点、萍乡考点、新余考点、鹰潭考点</w:t>
            </w:r>
          </w:p>
        </w:tc>
      </w:tr>
      <w:tr>
        <w:tblPrEx>
          <w:shd w:val="clear" w:color="auto" w:fill="FFFFFF"/>
          <w:tblCellMar>
            <w:top w:w="0" w:type="dxa"/>
            <w:left w:w="0" w:type="dxa"/>
            <w:bottom w:w="0" w:type="dxa"/>
            <w:right w:w="0" w:type="dxa"/>
          </w:tblCellMar>
        </w:tblPrEx>
        <w:trPr>
          <w:trHeight w:val="379" w:hRule="atLeast"/>
        </w:trPr>
        <w:tc>
          <w:tcPr>
            <w:tcW w:w="969" w:type="pct"/>
            <w:vMerge w:val="continue"/>
            <w:tcBorders>
              <w:top w:val="nil"/>
              <w:left w:val="single" w:color="auto" w:sz="8" w:space="0"/>
              <w:bottom w:val="single" w:color="000000"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663" w:type="pct"/>
            <w:vMerge w:val="continue"/>
            <w:tcBorders>
              <w:top w:val="nil"/>
              <w:left w:val="nil"/>
              <w:bottom w:val="single" w:color="000000"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caps w:val="0"/>
                <w:color w:val="333333"/>
                <w:spacing w:val="0"/>
                <w:sz w:val="18"/>
                <w:szCs w:val="18"/>
              </w:rPr>
            </w:pPr>
          </w:p>
        </w:tc>
        <w:tc>
          <w:tcPr>
            <w:tcW w:w="1071"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井冈山大学医学部</w:t>
            </w:r>
          </w:p>
        </w:tc>
        <w:tc>
          <w:tcPr>
            <w:tcW w:w="2295" w:type="pc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宋体" w:hAnsi="宋体" w:eastAsia="宋体" w:cs="宋体"/>
                <w:i w:val="0"/>
                <w:caps w:val="0"/>
                <w:color w:val="333333"/>
                <w:spacing w:val="0"/>
                <w:sz w:val="24"/>
                <w:szCs w:val="24"/>
                <w:bdr w:val="none" w:color="auto" w:sz="0" w:space="0"/>
              </w:rPr>
              <w:t>吉安考点、抚州考点</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黑体" w:hAnsi="宋体" w:eastAsia="黑体" w:cs="黑体"/>
          <w:i w:val="0"/>
          <w:caps w:val="0"/>
          <w:color w:val="333333"/>
          <w:spacing w:val="0"/>
          <w:sz w:val="28"/>
          <w:szCs w:val="28"/>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default" w:ascii="方正小标宋简体" w:hAnsi="方正小标宋简体" w:eastAsia="方正小标宋简体" w:cs="方正小标宋简体"/>
          <w:i w:val="0"/>
          <w:caps w:val="0"/>
          <w:color w:val="333333"/>
          <w:spacing w:val="0"/>
          <w:sz w:val="28"/>
          <w:szCs w:val="28"/>
          <w:bdr w:val="none" w:color="auto" w:sz="0" w:space="0"/>
          <w:shd w:val="clear" w:fill="FFFFFF"/>
        </w:rPr>
        <w:t>                              2020年全国医师资格实践技能考试江西考区考生健康申明卡及安全考试承诺书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姓    名：</w:t>
      </w:r>
      <w:r>
        <w:rPr>
          <w:rFonts w:hint="eastAsia" w:ascii="仿宋" w:hAnsi="仿宋" w:eastAsia="仿宋" w:cs="仿宋"/>
          <w:i w:val="0"/>
          <w:caps w:val="0"/>
          <w:color w:val="333333"/>
          <w:spacing w:val="0"/>
          <w:sz w:val="21"/>
          <w:szCs w:val="21"/>
          <w:u w:val="single"/>
          <w:bdr w:val="none" w:color="auto" w:sz="0" w:space="0"/>
          <w:shd w:val="clear" w:fill="FFFFFF"/>
        </w:rPr>
        <w:t>                   </w:t>
      </w:r>
      <w:r>
        <w:rPr>
          <w:rFonts w:hint="eastAsia" w:ascii="仿宋" w:hAnsi="仿宋" w:eastAsia="仿宋" w:cs="仿宋"/>
          <w:i w:val="0"/>
          <w:caps w:val="0"/>
          <w:color w:val="333333"/>
          <w:spacing w:val="0"/>
          <w:sz w:val="21"/>
          <w:szCs w:val="21"/>
          <w:bdr w:val="none" w:color="auto" w:sz="0" w:space="0"/>
          <w:shd w:val="clear" w:fill="FFFFFF"/>
        </w:rPr>
        <w:t> 性  别：</w:t>
      </w:r>
      <w:r>
        <w:rPr>
          <w:rFonts w:hint="eastAsia" w:ascii="仿宋" w:hAnsi="仿宋" w:eastAsia="仿宋" w:cs="仿宋"/>
          <w:i w:val="0"/>
          <w:caps w:val="0"/>
          <w:color w:val="333333"/>
          <w:spacing w:val="0"/>
          <w:sz w:val="21"/>
          <w:szCs w:val="21"/>
          <w:u w:val="single"/>
          <w:bdr w:val="none" w:color="auto" w:sz="0" w:space="0"/>
          <w:shd w:val="clear" w:fill="FFFFFF"/>
        </w:rPr>
        <w:t>                    </w:t>
      </w:r>
      <w:r>
        <w:rPr>
          <w:rFonts w:hint="eastAsia" w:ascii="仿宋" w:hAnsi="仿宋" w:eastAsia="仿宋" w:cs="仿宋"/>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准考证号：</w:t>
      </w:r>
      <w:r>
        <w:rPr>
          <w:rFonts w:hint="eastAsia" w:ascii="仿宋" w:hAnsi="仿宋" w:eastAsia="仿宋" w:cs="仿宋"/>
          <w:i w:val="0"/>
          <w:caps w:val="0"/>
          <w:color w:val="333333"/>
          <w:spacing w:val="0"/>
          <w:sz w:val="21"/>
          <w:szCs w:val="21"/>
          <w:u w:val="single"/>
          <w:bdr w:val="none" w:color="auto" w:sz="0" w:space="0"/>
          <w:shd w:val="clear" w:fill="FFFFFF"/>
        </w:rPr>
        <w:t>                    </w:t>
      </w:r>
      <w:r>
        <w:rPr>
          <w:rFonts w:hint="eastAsia" w:ascii="仿宋" w:hAnsi="仿宋" w:eastAsia="仿宋" w:cs="仿宋"/>
          <w:i w:val="0"/>
          <w:caps w:val="0"/>
          <w:color w:val="333333"/>
          <w:spacing w:val="0"/>
          <w:sz w:val="21"/>
          <w:szCs w:val="21"/>
          <w:bdr w:val="none" w:color="auto" w:sz="0" w:space="0"/>
          <w:shd w:val="clear" w:fill="FFFFFF"/>
        </w:rPr>
        <w:t>工作单位：</w:t>
      </w:r>
      <w:r>
        <w:rPr>
          <w:rFonts w:hint="eastAsia" w:ascii="仿宋" w:hAnsi="仿宋" w:eastAsia="仿宋" w:cs="仿宋"/>
          <w:i w:val="0"/>
          <w:caps w:val="0"/>
          <w:color w:val="333333"/>
          <w:spacing w:val="0"/>
          <w:sz w:val="21"/>
          <w:szCs w:val="21"/>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身份证号：</w:t>
      </w:r>
      <w:r>
        <w:rPr>
          <w:rFonts w:hint="eastAsia" w:ascii="仿宋" w:hAnsi="仿宋" w:eastAsia="仿宋" w:cs="仿宋"/>
          <w:i w:val="0"/>
          <w:caps w:val="0"/>
          <w:color w:val="333333"/>
          <w:spacing w:val="0"/>
          <w:sz w:val="21"/>
          <w:szCs w:val="21"/>
          <w:u w:val="single"/>
          <w:bdr w:val="none" w:color="auto" w:sz="0" w:space="0"/>
          <w:shd w:val="clear" w:fill="FFFFFF"/>
        </w:rPr>
        <w:t>                             </w:t>
      </w:r>
      <w:r>
        <w:rPr>
          <w:rFonts w:hint="eastAsia" w:ascii="仿宋" w:hAnsi="仿宋" w:eastAsia="仿宋" w:cs="仿宋"/>
          <w:i w:val="0"/>
          <w:caps w:val="0"/>
          <w:color w:val="333333"/>
          <w:spacing w:val="0"/>
          <w:sz w:val="21"/>
          <w:szCs w:val="21"/>
          <w:bdr w:val="none" w:color="auto" w:sz="0" w:space="0"/>
          <w:shd w:val="clear" w:fill="FFFFFF"/>
        </w:rPr>
        <w:t> 有效手机联系方式：</w:t>
      </w:r>
      <w:r>
        <w:rPr>
          <w:rFonts w:hint="eastAsia" w:ascii="仿宋" w:hAnsi="仿宋" w:eastAsia="仿宋" w:cs="仿宋"/>
          <w:i w:val="0"/>
          <w:caps w:val="0"/>
          <w:color w:val="333333"/>
          <w:spacing w:val="0"/>
          <w:sz w:val="21"/>
          <w:szCs w:val="21"/>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本人考前14日内住址（请详细填写，住址请具体到街道/社区及门牌号或宾馆地址）：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 </w:t>
      </w:r>
      <w:r>
        <w:rPr>
          <w:rFonts w:hint="eastAsia" w:ascii="仿宋" w:hAnsi="仿宋" w:eastAsia="仿宋" w:cs="仿宋"/>
          <w:i w:val="0"/>
          <w:caps w:val="0"/>
          <w:color w:val="333333"/>
          <w:spacing w:val="0"/>
          <w:sz w:val="21"/>
          <w:szCs w:val="21"/>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1.</w:t>
      </w:r>
      <w:r>
        <w:rPr>
          <w:rFonts w:hint="eastAsia" w:ascii="仿宋" w:hAnsi="仿宋" w:eastAsia="仿宋" w:cs="仿宋"/>
          <w:i w:val="0"/>
          <w:caps w:val="0"/>
          <w:color w:val="333333"/>
          <w:spacing w:val="-4"/>
          <w:sz w:val="21"/>
          <w:szCs w:val="21"/>
          <w:bdr w:val="none" w:color="auto" w:sz="0" w:space="0"/>
          <w:shd w:val="clear" w:fill="FFFFFF"/>
        </w:rPr>
        <w:t>本人考前14日内，是否出现发热、干咳、乏力、鼻塞、流涕、咽痛、腹泻等症状。</w:t>
      </w:r>
      <w:r>
        <w:rPr>
          <w:rFonts w:hint="eastAsia" w:ascii="仿宋" w:hAnsi="仿宋" w:eastAsia="仿宋" w:cs="仿宋"/>
          <w:i w:val="0"/>
          <w:caps w:val="0"/>
          <w:color w:val="333333"/>
          <w:spacing w:val="-10"/>
          <w:sz w:val="21"/>
          <w:szCs w:val="21"/>
          <w:bdr w:val="none" w:color="auto" w:sz="0" w:space="0"/>
          <w:shd w:val="clear" w:fill="FFFFFF"/>
        </w:rPr>
        <w:t> </w:t>
      </w:r>
      <w:r>
        <w:rPr>
          <w:rFonts w:hint="eastAsia" w:ascii="仿宋" w:hAnsi="仿宋" w:eastAsia="仿宋" w:cs="仿宋"/>
          <w:i w:val="0"/>
          <w:caps w:val="0"/>
          <w:color w:val="333333"/>
          <w:spacing w:val="0"/>
          <w:sz w:val="21"/>
          <w:szCs w:val="21"/>
          <w:bdr w:val="none" w:color="auto" w:sz="0" w:space="0"/>
          <w:shd w:val="clear" w:fill="FFFFFF"/>
        </w:rPr>
        <w:t>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2.本人是否属于新冠肺炎确诊病例、无症状感染者。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3.本人考前14日内，是否在居住地有被隔离或曾被隔离且未做核酸检测。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4.本人考前14日内，是否从省外中高风险地区入赣。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5.本人考前14日内，是否从境外（含港澳台）入赣。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6.本人考前14日内，是否从湖北入赣。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7.</w:t>
      </w:r>
      <w:r>
        <w:rPr>
          <w:rFonts w:hint="eastAsia" w:ascii="仿宋" w:hAnsi="仿宋" w:eastAsia="仿宋" w:cs="仿宋"/>
          <w:i w:val="0"/>
          <w:caps w:val="0"/>
          <w:color w:val="333333"/>
          <w:spacing w:val="-8"/>
          <w:sz w:val="21"/>
          <w:szCs w:val="21"/>
          <w:bdr w:val="none" w:color="auto" w:sz="0" w:space="0"/>
          <w:shd w:val="clear" w:fill="FFFFFF"/>
        </w:rPr>
        <w:t>本人考前14日内是否与新冠肺炎确诊病例、疑似病例或已发现无症状感染者有接触史。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8.本人考前14日内是否与来自境外（含港澳台）人员有接触史。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9.本人健康码是否为非绿码。                                                 □是 □否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10.共同居住家庭成员中是否有上述1至8的情况。                              □是 □否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640"/>
        <w:jc w:val="both"/>
        <w:rPr>
          <w:rFonts w:hint="default" w:ascii="Calibri" w:hAnsi="Calibri" w:cs="Calibri"/>
          <w:sz w:val="21"/>
          <w:szCs w:val="21"/>
        </w:rPr>
      </w:pPr>
      <w:r>
        <w:rPr>
          <w:rFonts w:hint="eastAsia" w:ascii="仿宋" w:hAnsi="仿宋" w:eastAsia="仿宋" w:cs="仿宋"/>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b/>
          <w:i w:val="0"/>
          <w:caps w:val="0"/>
          <w:color w:val="333333"/>
          <w:spacing w:val="0"/>
          <w:sz w:val="32"/>
          <w:szCs w:val="32"/>
          <w:bdr w:val="none" w:color="auto" w:sz="0" w:space="0"/>
          <w:shd w:val="clear" w:fill="FFFFFF"/>
        </w:rPr>
        <w:t>提示：1.以上1-10项目中如有“是”的，新型冠状病毒核酸检测阴性报告须为考前7天内。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964"/>
        <w:jc w:val="both"/>
        <w:rPr>
          <w:rFonts w:hint="default" w:ascii="Calibri" w:hAnsi="Calibri" w:cs="Calibri"/>
          <w:sz w:val="21"/>
          <w:szCs w:val="21"/>
        </w:rPr>
      </w:pPr>
      <w:r>
        <w:rPr>
          <w:rFonts w:hint="eastAsia" w:ascii="仿宋" w:hAnsi="仿宋" w:eastAsia="仿宋" w:cs="仿宋"/>
          <w:b/>
          <w:i w:val="0"/>
          <w:caps w:val="0"/>
          <w:color w:val="333333"/>
          <w:spacing w:val="0"/>
          <w:sz w:val="32"/>
          <w:szCs w:val="32"/>
          <w:bdr w:val="none" w:color="auto" w:sz="0" w:space="0"/>
          <w:shd w:val="clear" w:fill="FFFFFF"/>
        </w:rPr>
        <w:t>2.考试前14天内建议减少不必要出行，不聚餐、不聚会、勤洗手，正确佩戴口罩。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default" w:ascii="Calibri" w:hAnsi="Calibri" w:cs="Calibri"/>
          <w:sz w:val="21"/>
          <w:szCs w:val="21"/>
        </w:rPr>
      </w:pPr>
      <w:r>
        <w:rPr>
          <w:rFonts w:hint="eastAsia" w:ascii="仿宋" w:hAnsi="仿宋" w:eastAsia="仿宋" w:cs="仿宋"/>
          <w:b/>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2"/>
        <w:jc w:val="both"/>
        <w:rPr>
          <w:rFonts w:hint="default" w:ascii="Calibri" w:hAnsi="Calibri" w:cs="Calibri"/>
          <w:sz w:val="21"/>
          <w:szCs w:val="21"/>
        </w:rPr>
      </w:pPr>
      <w:r>
        <w:rPr>
          <w:rFonts w:hint="eastAsia" w:ascii="仿宋" w:hAnsi="仿宋" w:eastAsia="仿宋" w:cs="仿宋"/>
          <w:b/>
          <w:i w:val="0"/>
          <w:caps w:val="0"/>
          <w:color w:val="333333"/>
          <w:spacing w:val="0"/>
          <w:sz w:val="28"/>
          <w:szCs w:val="28"/>
          <w:bdr w:val="none" w:color="auto" w:sz="0" w:space="0"/>
          <w:shd w:val="clear" w:fill="FFFFFF"/>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2"/>
        <w:jc w:val="both"/>
        <w:rPr>
          <w:rFonts w:hint="default" w:ascii="Calibri" w:hAnsi="Calibri" w:cs="Calibri"/>
          <w:sz w:val="21"/>
          <w:szCs w:val="21"/>
        </w:rPr>
      </w:pPr>
      <w:r>
        <w:rPr>
          <w:rFonts w:hint="eastAsia" w:ascii="仿宋" w:hAnsi="仿宋" w:eastAsia="仿宋" w:cs="仿宋"/>
          <w:b/>
          <w:i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jc w:val="both"/>
        <w:rPr>
          <w:rFonts w:hint="default" w:ascii="Calibri" w:hAnsi="Calibri" w:cs="Calibri"/>
          <w:sz w:val="21"/>
          <w:szCs w:val="21"/>
        </w:rPr>
      </w:pPr>
      <w:r>
        <w:rPr>
          <w:rFonts w:hint="eastAsia" w:ascii="仿宋" w:hAnsi="仿宋" w:eastAsia="仿宋" w:cs="仿宋"/>
          <w:i w:val="0"/>
          <w:caps w:val="0"/>
          <w:color w:val="333333"/>
          <w:spacing w:val="0"/>
          <w:sz w:val="21"/>
          <w:szCs w:val="21"/>
          <w:bdr w:val="none" w:color="auto" w:sz="0" w:space="0"/>
          <w:shd w:val="clear" w:fill="FFFFFF"/>
        </w:rPr>
        <w:t>本人签名：                                          填写日期：</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10376C"/>
    <w:rsid w:val="6F103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2020-07-06T02:56:00Z</dcterms:created>
  <dc:creator>dell</dc:creator>
  <cp:lastModifiedBy>dell</cp:lastModifiedBy>
  <dcterms:modified xsi:type="dcterms:W3CDTF">2020-07-06T02:57:17Z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