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autoSpaceDE/>
        <w:autoSpaceDN/>
        <w:spacing w:before="0" w:after="160" w:line="240" w:lineRule="auto"/>
        <w:ind w:right="0" w:firstLine="0"/>
        <w:jc w:val="both"/>
        <w:rPr>
          <w:rFonts w:hint="default" w:ascii="黑体" w:hAnsi="黑体" w:eastAsia="黑体"/>
          <w:b w:val="0"/>
          <w:color w:val="auto"/>
          <w:position w:val="0"/>
          <w:sz w:val="32"/>
          <w:szCs w:val="32"/>
        </w:rPr>
      </w:pPr>
      <w:bookmarkStart w:id="0" w:name="_GoBack"/>
      <w:bookmarkEnd w:id="0"/>
      <w:r>
        <w:rPr>
          <w:rFonts w:hint="default" w:ascii="黑体" w:hAnsi="黑体" w:eastAsia="黑体"/>
          <w:b w:val="0"/>
          <w:color w:val="auto"/>
          <w:position w:val="0"/>
          <w:sz w:val="32"/>
          <w:szCs w:val="32"/>
        </w:rPr>
        <w:t>附件3</w:t>
      </w:r>
    </w:p>
    <w:p>
      <w:pPr>
        <w:numPr>
          <w:ilvl w:val="0"/>
          <w:numId w:val="0"/>
        </w:numPr>
        <w:autoSpaceDE/>
        <w:autoSpaceDN/>
        <w:spacing w:before="0" w:after="160" w:line="240" w:lineRule="auto"/>
        <w:ind w:right="0" w:firstLine="0"/>
        <w:jc w:val="center"/>
        <w:rPr>
          <w:rFonts w:hint="default" w:ascii="Times New Roman" w:hAnsi="Times New Roman" w:eastAsia="Times New Roman"/>
          <w:b/>
          <w:color w:val="auto"/>
          <w:position w:val="0"/>
          <w:sz w:val="44"/>
          <w:szCs w:val="44"/>
        </w:rPr>
      </w:pPr>
      <w:r>
        <w:rPr>
          <w:rFonts w:hint="default" w:ascii="Times New Roman" w:hAnsi="Times New Roman" w:eastAsia="Times New Roman"/>
          <w:b/>
          <w:color w:val="auto"/>
          <w:position w:val="0"/>
          <w:sz w:val="44"/>
          <w:szCs w:val="44"/>
        </w:rPr>
        <w:t>考试收费标准</w:t>
      </w:r>
    </w:p>
    <w:tbl>
      <w:tblPr>
        <w:tblStyle w:val="4"/>
        <w:tblW w:w="1024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23"/>
        <w:gridCol w:w="1930"/>
        <w:gridCol w:w="1972"/>
        <w:gridCol w:w="9"/>
        <w:gridCol w:w="2181"/>
        <w:gridCol w:w="24"/>
        <w:gridCol w:w="1808"/>
        <w:gridCol w:w="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640" w:hRule="atLeast"/>
          <w:jc w:val="center"/>
        </w:trPr>
        <w:tc>
          <w:tcPr>
            <w:tcW w:w="2323" w:type="dxa"/>
            <w:vMerge w:val="restart"/>
            <w:tcBorders>
              <w:top w:val="single" w:color="auto" w:sz="4" w:space="0"/>
              <w:left w:val="single" w:color="auto" w:sz="4" w:space="0"/>
              <w:bottom w:val="single" w:color="auto" w:sz="4" w:space="0"/>
              <w:right w:val="single" w:color="auto" w:sz="4" w:space="0"/>
            </w:tcBorders>
            <w:vAlign w:val="center"/>
          </w:tcPr>
          <w:p>
            <w:pPr>
              <w:numPr>
                <w:ilvl w:val="0"/>
                <w:numId w:val="0"/>
              </w:numPr>
              <w:autoSpaceDE/>
              <w:autoSpaceDN/>
              <w:spacing w:before="0" w:after="160" w:line="240" w:lineRule="auto"/>
              <w:ind w:right="0" w:firstLine="0"/>
              <w:jc w:val="center"/>
              <w:rPr>
                <w:rFonts w:hint="default" w:ascii="Times New Roman" w:hAnsi="黑体" w:eastAsia="黑体"/>
                <w:color w:val="auto"/>
                <w:position w:val="0"/>
                <w:sz w:val="21"/>
                <w:szCs w:val="21"/>
              </w:rPr>
            </w:pPr>
            <w:r>
              <w:rPr>
                <w:rFonts w:hint="default" w:ascii="Times New Roman" w:hAnsi="黑体" w:eastAsia="黑体"/>
                <w:b/>
                <w:color w:val="auto"/>
                <w:position w:val="0"/>
                <w:sz w:val="21"/>
                <w:szCs w:val="21"/>
              </w:rPr>
              <w:t>考试项目</w:t>
            </w:r>
          </w:p>
        </w:tc>
        <w:tc>
          <w:tcPr>
            <w:tcW w:w="3911" w:type="dxa"/>
            <w:gridSpan w:val="3"/>
            <w:tcBorders>
              <w:top w:val="single" w:color="auto" w:sz="4" w:space="0"/>
              <w:left w:val="single" w:color="auto" w:sz="4" w:space="0"/>
              <w:right w:val="single" w:color="auto" w:sz="4" w:space="0"/>
            </w:tcBorders>
            <w:vAlign w:val="center"/>
          </w:tcPr>
          <w:p>
            <w:pPr>
              <w:numPr>
                <w:ilvl w:val="0"/>
                <w:numId w:val="0"/>
              </w:numPr>
              <w:autoSpaceDE/>
              <w:autoSpaceDN/>
              <w:spacing w:before="0" w:after="160" w:line="240" w:lineRule="auto"/>
              <w:ind w:right="0" w:firstLine="0"/>
              <w:jc w:val="center"/>
              <w:rPr>
                <w:rFonts w:hint="default" w:ascii="Times New Roman" w:hAnsi="黑体" w:eastAsia="黑体"/>
                <w:color w:val="auto"/>
                <w:position w:val="0"/>
                <w:sz w:val="21"/>
                <w:szCs w:val="21"/>
              </w:rPr>
            </w:pPr>
            <w:r>
              <w:rPr>
                <w:rFonts w:hint="default" w:ascii="Times New Roman" w:hAnsi="黑体" w:eastAsia="黑体"/>
                <w:b/>
                <w:color w:val="auto"/>
                <w:position w:val="0"/>
                <w:sz w:val="21"/>
                <w:szCs w:val="21"/>
              </w:rPr>
              <w:t>收费标准</w:t>
            </w:r>
          </w:p>
        </w:tc>
        <w:tc>
          <w:tcPr>
            <w:tcW w:w="2205" w:type="dxa"/>
            <w:gridSpan w:val="2"/>
            <w:vMerge w:val="restart"/>
            <w:tcBorders>
              <w:top w:val="single" w:color="auto" w:sz="4" w:space="0"/>
              <w:left w:val="single" w:color="auto" w:sz="4" w:space="0"/>
              <w:bottom w:val="single" w:color="auto" w:sz="4" w:space="0"/>
              <w:right w:val="single" w:color="auto" w:sz="4" w:space="0"/>
            </w:tcBorders>
            <w:vAlign w:val="center"/>
          </w:tcPr>
          <w:p>
            <w:pPr>
              <w:numPr>
                <w:ilvl w:val="0"/>
                <w:numId w:val="0"/>
              </w:numPr>
              <w:autoSpaceDE/>
              <w:autoSpaceDN/>
              <w:spacing w:before="0" w:after="160" w:line="240" w:lineRule="auto"/>
              <w:ind w:right="0" w:firstLine="0"/>
              <w:jc w:val="center"/>
              <w:rPr>
                <w:rFonts w:hint="default" w:ascii="Times New Roman" w:hAnsi="黑体" w:eastAsia="黑体"/>
                <w:color w:val="auto"/>
                <w:position w:val="0"/>
                <w:sz w:val="21"/>
                <w:szCs w:val="21"/>
              </w:rPr>
            </w:pPr>
            <w:r>
              <w:rPr>
                <w:rFonts w:hint="default" w:ascii="Times New Roman" w:hAnsi="黑体" w:eastAsia="黑体"/>
                <w:b/>
                <w:color w:val="auto"/>
                <w:position w:val="0"/>
                <w:sz w:val="21"/>
                <w:szCs w:val="21"/>
              </w:rPr>
              <w:t>收费依据</w:t>
            </w:r>
          </w:p>
        </w:tc>
        <w:tc>
          <w:tcPr>
            <w:tcW w:w="1808" w:type="dxa"/>
            <w:vMerge w:val="restart"/>
            <w:tcBorders>
              <w:top w:val="single" w:color="auto" w:sz="4" w:space="0"/>
              <w:left w:val="single" w:color="auto" w:sz="4" w:space="0"/>
              <w:bottom w:val="single" w:color="auto" w:sz="4" w:space="0"/>
              <w:right w:val="single" w:color="auto" w:sz="4" w:space="0"/>
            </w:tcBorders>
            <w:vAlign w:val="center"/>
          </w:tcPr>
          <w:p>
            <w:pPr>
              <w:numPr>
                <w:ilvl w:val="0"/>
                <w:numId w:val="0"/>
              </w:numPr>
              <w:autoSpaceDE/>
              <w:autoSpaceDN/>
              <w:spacing w:before="0" w:after="160" w:line="240" w:lineRule="auto"/>
              <w:ind w:right="0" w:firstLine="0"/>
              <w:jc w:val="center"/>
              <w:rPr>
                <w:rFonts w:hint="default" w:ascii="Times New Roman" w:hAnsi="黑体" w:eastAsia="黑体"/>
                <w:color w:val="auto"/>
                <w:position w:val="0"/>
                <w:sz w:val="21"/>
                <w:szCs w:val="21"/>
              </w:rPr>
            </w:pPr>
            <w:r>
              <w:rPr>
                <w:rFonts w:hint="default" w:ascii="Times New Roman" w:hAnsi="黑体" w:eastAsia="黑体"/>
                <w:b/>
                <w:color w:val="auto"/>
                <w:position w:val="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640" w:hRule="atLeast"/>
          <w:jc w:val="center"/>
        </w:trPr>
        <w:tc>
          <w:tcPr>
            <w:tcW w:w="2323" w:type="dxa"/>
            <w:vMerge w:val="continue"/>
            <w:tcBorders>
              <w:top w:val="single" w:color="auto" w:sz="4" w:space="0"/>
              <w:left w:val="single" w:color="auto" w:sz="4" w:space="0"/>
              <w:bottom w:val="single" w:color="auto" w:sz="4" w:space="0"/>
              <w:right w:val="single" w:color="auto" w:sz="4" w:space="0"/>
            </w:tcBorders>
            <w:vAlign w:val="center"/>
          </w:tcPr>
          <w:p/>
        </w:tc>
        <w:tc>
          <w:tcPr>
            <w:tcW w:w="1930" w:type="dxa"/>
            <w:tcBorders>
              <w:top w:val="single" w:color="auto" w:sz="4" w:space="0"/>
              <w:left w:val="single" w:color="auto" w:sz="4" w:space="0"/>
              <w:right w:val="single" w:color="auto" w:sz="4" w:space="0"/>
            </w:tcBorders>
            <w:vAlign w:val="center"/>
          </w:tcPr>
          <w:p>
            <w:pPr>
              <w:numPr>
                <w:ilvl w:val="0"/>
                <w:numId w:val="0"/>
              </w:numPr>
              <w:autoSpaceDE/>
              <w:autoSpaceDN/>
              <w:spacing w:before="0" w:after="160" w:line="240" w:lineRule="auto"/>
              <w:ind w:right="0" w:firstLine="0"/>
              <w:jc w:val="center"/>
              <w:rPr>
                <w:rFonts w:hint="default" w:ascii="Times New Roman" w:hAnsi="黑体" w:eastAsia="黑体"/>
                <w:b/>
                <w:color w:val="auto"/>
                <w:position w:val="0"/>
                <w:sz w:val="21"/>
                <w:szCs w:val="21"/>
              </w:rPr>
            </w:pPr>
            <w:r>
              <w:rPr>
                <w:rFonts w:hint="default" w:ascii="Times New Roman" w:hAnsi="黑体" w:eastAsia="黑体"/>
                <w:b/>
                <w:color w:val="auto"/>
                <w:position w:val="0"/>
                <w:sz w:val="21"/>
                <w:szCs w:val="21"/>
              </w:rPr>
              <w:t>考务费</w:t>
            </w:r>
          </w:p>
        </w:tc>
        <w:tc>
          <w:tcPr>
            <w:tcW w:w="1981" w:type="dxa"/>
            <w:gridSpan w:val="2"/>
            <w:tcBorders>
              <w:top w:val="single" w:color="auto" w:sz="4" w:space="0"/>
              <w:left w:val="single" w:color="auto" w:sz="4" w:space="0"/>
              <w:right w:val="single" w:color="auto" w:sz="4" w:space="0"/>
            </w:tcBorders>
            <w:vAlign w:val="center"/>
          </w:tcPr>
          <w:p>
            <w:pPr>
              <w:numPr>
                <w:ilvl w:val="0"/>
                <w:numId w:val="0"/>
              </w:numPr>
              <w:autoSpaceDE/>
              <w:autoSpaceDN/>
              <w:spacing w:before="0" w:after="160" w:line="240" w:lineRule="auto"/>
              <w:ind w:right="0" w:firstLine="0"/>
              <w:jc w:val="center"/>
              <w:rPr>
                <w:rFonts w:hint="default" w:ascii="Times New Roman" w:hAnsi="黑体" w:eastAsia="黑体"/>
                <w:b/>
                <w:color w:val="auto"/>
                <w:position w:val="0"/>
                <w:sz w:val="21"/>
                <w:szCs w:val="21"/>
              </w:rPr>
            </w:pPr>
            <w:r>
              <w:rPr>
                <w:rFonts w:hint="default" w:ascii="Times New Roman" w:hAnsi="黑体" w:eastAsia="黑体"/>
                <w:b/>
                <w:color w:val="auto"/>
                <w:position w:val="0"/>
                <w:sz w:val="21"/>
                <w:szCs w:val="21"/>
              </w:rPr>
              <w:t>考试费</w:t>
            </w:r>
          </w:p>
        </w:tc>
        <w:tc>
          <w:tcPr>
            <w:tcW w:w="2205" w:type="dxa"/>
            <w:gridSpan w:val="2"/>
            <w:vMerge w:val="continue"/>
            <w:tcBorders>
              <w:top w:val="single" w:color="auto" w:sz="4" w:space="0"/>
              <w:left w:val="single" w:color="auto" w:sz="4" w:space="0"/>
              <w:bottom w:val="single" w:color="auto" w:sz="4" w:space="0"/>
              <w:right w:val="single" w:color="auto" w:sz="4" w:space="0"/>
            </w:tcBorders>
            <w:vAlign w:val="center"/>
          </w:tcPr>
          <w:p/>
        </w:tc>
        <w:tc>
          <w:tcPr>
            <w:tcW w:w="1808" w:type="dxa"/>
            <w:vMerge w:val="continue"/>
            <w:tcBorders>
              <w:top w:val="single" w:color="auto" w:sz="4" w:space="0"/>
              <w:left w:val="single" w:color="auto" w:sz="4" w:space="0"/>
              <w:bottom w:val="single" w:color="auto" w:sz="4" w:space="0"/>
              <w:right w:val="single" w:color="auto" w:sz="4" w:space="0"/>
            </w:tcBorders>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4458" w:hRule="atLeast"/>
          <w:jc w:val="center"/>
        </w:trPr>
        <w:tc>
          <w:tcPr>
            <w:tcW w:w="2323" w:type="dxa"/>
            <w:vAlign w:val="center"/>
          </w:tcPr>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b/>
                <w:color w:val="000000"/>
                <w:spacing w:val="0"/>
                <w:position w:val="0"/>
                <w:sz w:val="21"/>
                <w:szCs w:val="21"/>
              </w:rPr>
            </w:pPr>
            <w:r>
              <w:rPr>
                <w:rFonts w:hint="default" w:ascii="Times New Roman" w:hAnsi="宋体" w:eastAsia="宋体"/>
                <w:b/>
                <w:color w:val="000000"/>
                <w:spacing w:val="0"/>
                <w:position w:val="0"/>
                <w:sz w:val="21"/>
                <w:szCs w:val="21"/>
              </w:rPr>
              <w:t>一级</w:t>
            </w:r>
          </w:p>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color w:val="000000"/>
                <w:spacing w:val="0"/>
                <w:position w:val="0"/>
                <w:sz w:val="21"/>
                <w:szCs w:val="21"/>
              </w:rPr>
            </w:pPr>
            <w:r>
              <w:rPr>
                <w:rFonts w:hint="default" w:ascii="Times New Roman" w:hAnsi="宋体" w:eastAsia="宋体"/>
                <w:b/>
                <w:color w:val="000000"/>
                <w:spacing w:val="0"/>
                <w:position w:val="0"/>
                <w:sz w:val="21"/>
                <w:szCs w:val="21"/>
              </w:rPr>
              <w:t>注册建筑师</w:t>
            </w:r>
          </w:p>
        </w:tc>
        <w:tc>
          <w:tcPr>
            <w:tcW w:w="1930" w:type="dxa"/>
            <w:vAlign w:val="center"/>
          </w:tcPr>
          <w:p>
            <w:pPr>
              <w:pageBreakBefore w:val="0"/>
              <w:numPr>
                <w:ilvl w:val="0"/>
                <w:numId w:val="0"/>
              </w:numPr>
              <w:tabs>
                <w:tab w:val="left" w:pos="168"/>
              </w:tabs>
              <w:wordWrap w:val="0"/>
              <w:autoSpaceDE/>
              <w:autoSpaceDN/>
              <w:bidi w:val="0"/>
              <w:snapToGrid/>
              <w:spacing w:before="0" w:after="0" w:line="240" w:lineRule="auto"/>
              <w:ind w:right="0" w:firstLine="0"/>
              <w:jc w:val="left"/>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 xml:space="preserve">知识题（选择题）每人每科13元，作图题每人每科102元。 </w:t>
            </w:r>
          </w:p>
        </w:tc>
        <w:tc>
          <w:tcPr>
            <w:tcW w:w="1981" w:type="dxa"/>
            <w:gridSpan w:val="2"/>
            <w:vAlign w:val="center"/>
          </w:tcPr>
          <w:p>
            <w:pPr>
              <w:pageBreakBefore w:val="0"/>
              <w:numPr>
                <w:ilvl w:val="0"/>
                <w:numId w:val="0"/>
              </w:numPr>
              <w:wordWrap w:val="0"/>
              <w:autoSpaceDE/>
              <w:autoSpaceDN/>
              <w:bidi w:val="0"/>
              <w:snapToGrid/>
              <w:spacing w:before="0" w:after="0" w:line="240" w:lineRule="auto"/>
              <w:ind w:right="0" w:firstLine="0"/>
              <w:jc w:val="both"/>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建筑经济、施工与设计业务管理、设计前期与场地设计、建筑材料与构造、建筑物理与建筑设备每人每科65元，</w:t>
            </w:r>
          </w:p>
          <w:p>
            <w:pPr>
              <w:pageBreakBefore w:val="0"/>
              <w:numPr>
                <w:ilvl w:val="0"/>
                <w:numId w:val="0"/>
              </w:numPr>
              <w:wordWrap w:val="0"/>
              <w:autoSpaceDE/>
              <w:autoSpaceDN/>
              <w:bidi w:val="0"/>
              <w:snapToGrid/>
              <w:spacing w:before="0" w:after="0" w:line="240" w:lineRule="auto"/>
              <w:ind w:right="0" w:firstLine="0"/>
              <w:jc w:val="both"/>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建筑设计、场地设计（作图题）、建筑结构、建筑方案设计（作图题）、建筑技术设计（作图题）每人每科85元。</w:t>
            </w:r>
          </w:p>
        </w:tc>
        <w:tc>
          <w:tcPr>
            <w:tcW w:w="2205" w:type="dxa"/>
            <w:gridSpan w:val="2"/>
            <w:vAlign w:val="center"/>
          </w:tcPr>
          <w:p>
            <w:pPr>
              <w:pageBreakBefore w:val="0"/>
              <w:numPr>
                <w:ilvl w:val="0"/>
                <w:numId w:val="0"/>
              </w:numPr>
              <w:wordWrap w:val="0"/>
              <w:autoSpaceDE/>
              <w:autoSpaceDN/>
              <w:bidi w:val="0"/>
              <w:snapToGrid/>
              <w:spacing w:before="0" w:after="0" w:line="240" w:lineRule="auto"/>
              <w:ind w:right="0" w:firstLine="0"/>
              <w:jc w:val="both"/>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《住房城乡建设部关于重新发布有关专业技术人员资格考试项目收费标准的通知》（建计〔2016〕82号）和省物价局、财政厅《关于专业技术人员职业资格考试收费标准有关事项的通知》（吉省价收〔2016〕248号）</w:t>
            </w:r>
          </w:p>
        </w:tc>
        <w:tc>
          <w:tcPr>
            <w:tcW w:w="1808" w:type="dxa"/>
            <w:vAlign w:val="center"/>
          </w:tcPr>
          <w:p>
            <w:pPr>
              <w:pageBreakBefore w:val="0"/>
              <w:numPr>
                <w:ilvl w:val="0"/>
                <w:numId w:val="0"/>
              </w:numPr>
              <w:wordWrap w:val="0"/>
              <w:autoSpaceDE/>
              <w:autoSpaceDN/>
              <w:bidi w:val="0"/>
              <w:snapToGrid/>
              <w:spacing w:before="0" w:after="0" w:line="240" w:lineRule="auto"/>
              <w:ind w:right="0" w:firstLine="0"/>
              <w:jc w:val="both"/>
              <w:rPr>
                <w:rFonts w:hint="default" w:ascii="Times New Roman" w:hAnsi="宋体" w:eastAsia="宋体"/>
                <w:color w:val="000000"/>
                <w:spacing w:val="0"/>
                <w:position w:val="0"/>
                <w:sz w:val="21"/>
                <w:szCs w:val="21"/>
              </w:rPr>
            </w:pPr>
            <w:r>
              <w:rPr>
                <w:rFonts w:hint="default" w:ascii="Times New Roman" w:hAnsi="Times New Roman" w:eastAsia="Times New Roman"/>
                <w:color w:val="auto"/>
                <w:position w:val="0"/>
                <w:sz w:val="21"/>
                <w:szCs w:val="21"/>
              </w:rPr>
              <w:t xml:space="preserve"> 承担考试报名任务的市州留用考务费4元/科。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2720" w:hRule="atLeast"/>
          <w:jc w:val="center"/>
        </w:trPr>
        <w:tc>
          <w:tcPr>
            <w:tcW w:w="2323" w:type="dxa"/>
            <w:vAlign w:val="center"/>
          </w:tcPr>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b/>
                <w:color w:val="000000"/>
                <w:spacing w:val="0"/>
                <w:position w:val="0"/>
                <w:sz w:val="21"/>
                <w:szCs w:val="21"/>
              </w:rPr>
            </w:pPr>
            <w:r>
              <w:rPr>
                <w:rFonts w:hint="default" w:ascii="Times New Roman" w:hAnsi="宋体" w:eastAsia="宋体"/>
                <w:b/>
                <w:color w:val="000000"/>
                <w:spacing w:val="0"/>
                <w:position w:val="0"/>
                <w:sz w:val="21"/>
                <w:szCs w:val="21"/>
              </w:rPr>
              <w:t>二级</w:t>
            </w:r>
          </w:p>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b/>
                <w:color w:val="000000"/>
                <w:spacing w:val="0"/>
                <w:position w:val="0"/>
                <w:sz w:val="21"/>
                <w:szCs w:val="21"/>
              </w:rPr>
            </w:pPr>
            <w:r>
              <w:rPr>
                <w:rFonts w:hint="default" w:ascii="Times New Roman" w:hAnsi="宋体" w:eastAsia="宋体"/>
                <w:b/>
                <w:color w:val="000000"/>
                <w:spacing w:val="0"/>
                <w:position w:val="0"/>
                <w:sz w:val="21"/>
                <w:szCs w:val="21"/>
              </w:rPr>
              <w:t>注册建筑师</w:t>
            </w:r>
          </w:p>
        </w:tc>
        <w:tc>
          <w:tcPr>
            <w:tcW w:w="1930" w:type="dxa"/>
            <w:vAlign w:val="center"/>
          </w:tcPr>
          <w:p>
            <w:pPr>
              <w:pageBreakBefore w:val="0"/>
              <w:numPr>
                <w:ilvl w:val="0"/>
                <w:numId w:val="0"/>
              </w:numPr>
              <w:tabs>
                <w:tab w:val="left" w:pos="168"/>
              </w:tabs>
              <w:wordWrap w:val="0"/>
              <w:autoSpaceDE/>
              <w:autoSpaceDN/>
              <w:bidi w:val="0"/>
              <w:snapToGrid/>
              <w:spacing w:before="0" w:after="0" w:line="240" w:lineRule="auto"/>
              <w:ind w:right="0" w:firstLine="0"/>
              <w:jc w:val="left"/>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知识题（选择题）每人每科20元，作图题每人每科25元。</w:t>
            </w:r>
          </w:p>
        </w:tc>
        <w:tc>
          <w:tcPr>
            <w:tcW w:w="1981" w:type="dxa"/>
            <w:gridSpan w:val="2"/>
            <w:vAlign w:val="center"/>
          </w:tcPr>
          <w:p>
            <w:pPr>
              <w:pageBreakBefore w:val="0"/>
              <w:numPr>
                <w:ilvl w:val="0"/>
                <w:numId w:val="0"/>
              </w:numPr>
              <w:wordWrap w:val="0"/>
              <w:autoSpaceDE/>
              <w:autoSpaceDN/>
              <w:bidi w:val="0"/>
              <w:snapToGrid/>
              <w:spacing w:before="0" w:after="0" w:line="240" w:lineRule="auto"/>
              <w:ind w:right="0" w:firstLine="0"/>
              <w:jc w:val="both"/>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法律、法规、经济与施工每人每科65元，建筑构造与详图（作图题）、建筑结构与设备、场地与建筑设计（作图题）每人每科85元。</w:t>
            </w:r>
          </w:p>
        </w:tc>
        <w:tc>
          <w:tcPr>
            <w:tcW w:w="2205" w:type="dxa"/>
            <w:gridSpan w:val="2"/>
            <w:vAlign w:val="center"/>
          </w:tcPr>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同上</w:t>
            </w:r>
          </w:p>
        </w:tc>
        <w:tc>
          <w:tcPr>
            <w:tcW w:w="1808" w:type="dxa"/>
            <w:vAlign w:val="center"/>
          </w:tcPr>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同上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10" w:hRule="atLeast"/>
          <w:jc w:val="center"/>
        </w:trPr>
        <w:tc>
          <w:tcPr>
            <w:tcW w:w="2323"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一级注册</w:t>
            </w:r>
          </w:p>
          <w:p>
            <w:pPr>
              <w:numPr>
                <w:ilvl w:val="0"/>
                <w:numId w:val="0"/>
              </w:numPr>
              <w:wordWrap w:val="0"/>
              <w:autoSpaceDE/>
              <w:autoSpaceDN/>
              <w:spacing w:before="0" w:after="160" w:line="240" w:lineRule="auto"/>
              <w:ind w:right="0" w:firstLine="0"/>
              <w:jc w:val="center"/>
              <w:rPr>
                <w:rFonts w:hint="default" w:ascii="Times New Roman" w:hAnsi="黑体" w:eastAsia="黑体"/>
                <w:b/>
                <w:color w:val="auto"/>
                <w:position w:val="0"/>
                <w:sz w:val="21"/>
                <w:szCs w:val="21"/>
              </w:rPr>
            </w:pPr>
            <w:r>
              <w:rPr>
                <w:rFonts w:hint="default" w:ascii="Times New Roman" w:hAnsi="Times New Roman" w:eastAsia="Times New Roman"/>
                <w:b/>
                <w:color w:val="auto"/>
                <w:position w:val="0"/>
                <w:sz w:val="21"/>
                <w:szCs w:val="21"/>
              </w:rPr>
              <w:t>结构工程师</w:t>
            </w:r>
          </w:p>
        </w:tc>
        <w:tc>
          <w:tcPr>
            <w:tcW w:w="1930"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 xml:space="preserve">基础每人每科14元 </w:t>
            </w:r>
          </w:p>
          <w:p>
            <w:pPr>
              <w:numPr>
                <w:ilvl w:val="0"/>
                <w:numId w:val="0"/>
              </w:numPr>
              <w:wordWrap w:val="0"/>
              <w:autoSpaceDE/>
              <w:autoSpaceDN/>
              <w:spacing w:before="0" w:after="160" w:line="240" w:lineRule="auto"/>
              <w:ind w:right="0" w:firstLine="0"/>
              <w:jc w:val="both"/>
              <w:rPr>
                <w:rFonts w:hint="default" w:ascii="Times New Roman" w:hAnsi="黑体" w:eastAsia="黑体"/>
                <w:b/>
                <w:color w:val="auto"/>
                <w:position w:val="0"/>
                <w:sz w:val="21"/>
                <w:szCs w:val="21"/>
              </w:rPr>
            </w:pPr>
            <w:r>
              <w:rPr>
                <w:rFonts w:hint="default" w:ascii="Times New Roman" w:hAnsi="Times New Roman" w:eastAsia="Times New Roman"/>
                <w:color w:val="auto"/>
                <w:position w:val="0"/>
                <w:sz w:val="21"/>
                <w:szCs w:val="21"/>
              </w:rPr>
              <w:t>专业每人每科22元</w:t>
            </w:r>
          </w:p>
        </w:tc>
        <w:tc>
          <w:tcPr>
            <w:tcW w:w="1972"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 xml:space="preserve">基础每人每科85元 </w:t>
            </w:r>
          </w:p>
          <w:p>
            <w:pPr>
              <w:numPr>
                <w:ilvl w:val="0"/>
                <w:numId w:val="0"/>
              </w:numPr>
              <w:wordWrap w:val="0"/>
              <w:autoSpaceDE/>
              <w:autoSpaceDN/>
              <w:spacing w:before="0" w:after="160" w:line="240" w:lineRule="auto"/>
              <w:ind w:right="0" w:firstLine="0"/>
              <w:jc w:val="both"/>
              <w:rPr>
                <w:rFonts w:hint="default" w:ascii="Times New Roman" w:hAnsi="黑体" w:eastAsia="黑体"/>
                <w:b/>
                <w:color w:val="auto"/>
                <w:position w:val="0"/>
                <w:sz w:val="21"/>
                <w:szCs w:val="21"/>
              </w:rPr>
            </w:pPr>
            <w:r>
              <w:rPr>
                <w:rFonts w:hint="default" w:ascii="Times New Roman" w:hAnsi="Times New Roman" w:eastAsia="Times New Roman"/>
                <w:color w:val="auto"/>
                <w:position w:val="0"/>
                <w:sz w:val="21"/>
                <w:szCs w:val="21"/>
              </w:rPr>
              <w:t>专业每人每科85元</w:t>
            </w:r>
          </w:p>
        </w:tc>
        <w:tc>
          <w:tcPr>
            <w:tcW w:w="2190" w:type="dxa"/>
            <w:gridSpan w:val="2"/>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黑体" w:eastAsia="黑体"/>
                <w:b/>
                <w:color w:val="auto"/>
                <w:position w:val="0"/>
                <w:sz w:val="21"/>
                <w:szCs w:val="21"/>
              </w:rPr>
            </w:pPr>
            <w:r>
              <w:rPr>
                <w:rFonts w:hint="default" w:ascii="Times New Roman" w:hAnsi="Times New Roman" w:eastAsia="Times New Roman"/>
                <w:color w:val="auto"/>
                <w:position w:val="0"/>
                <w:sz w:val="21"/>
                <w:szCs w:val="21"/>
              </w:rPr>
              <w:t>《国家发展改革委  财政部关于改革全国性职业资格考试收费标准管理办法的通知》（发改价格〔2015〕1217号）和《关于专业技术人员职业资格考试收费标准有关事项的通知》吉省价收函字〔2016〕248号</w:t>
            </w:r>
          </w:p>
        </w:tc>
        <w:tc>
          <w:tcPr>
            <w:tcW w:w="1833" w:type="dxa"/>
            <w:gridSpan w:val="3"/>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黑体" w:eastAsia="黑体"/>
                <w:b/>
                <w:color w:val="auto"/>
                <w:position w:val="0"/>
                <w:sz w:val="21"/>
                <w:szCs w:val="21"/>
              </w:rPr>
            </w:pPr>
            <w:r>
              <w:rPr>
                <w:rFonts w:hint="default" w:ascii="Times New Roman" w:hAnsi="Times New Roman" w:eastAsia="Times New Roman"/>
                <w:color w:val="auto"/>
                <w:position w:val="0"/>
                <w:sz w:val="21"/>
                <w:szCs w:val="21"/>
              </w:rPr>
              <w:t>同上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4" w:hRule="atLeast"/>
          <w:jc w:val="center"/>
        </w:trPr>
        <w:tc>
          <w:tcPr>
            <w:tcW w:w="2323"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二级注册</w:t>
            </w:r>
          </w:p>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结构工程师</w:t>
            </w:r>
          </w:p>
        </w:tc>
        <w:tc>
          <w:tcPr>
            <w:tcW w:w="1930"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专业每人每科25元</w:t>
            </w:r>
          </w:p>
        </w:tc>
        <w:tc>
          <w:tcPr>
            <w:tcW w:w="1972"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专业每人每科85元</w:t>
            </w:r>
          </w:p>
        </w:tc>
        <w:tc>
          <w:tcPr>
            <w:tcW w:w="2190" w:type="dxa"/>
            <w:gridSpan w:val="2"/>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c>
          <w:tcPr>
            <w:tcW w:w="1833" w:type="dxa"/>
            <w:gridSpan w:val="3"/>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42" w:hRule="atLeast"/>
          <w:jc w:val="center"/>
        </w:trPr>
        <w:tc>
          <w:tcPr>
            <w:tcW w:w="2323"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土木工程师</w:t>
            </w:r>
          </w:p>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（岩土）</w:t>
            </w:r>
          </w:p>
        </w:tc>
        <w:tc>
          <w:tcPr>
            <w:tcW w:w="1930"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基础每人每科14元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专业客观题每人每科14元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专业主观题每人每科25元</w:t>
            </w:r>
          </w:p>
        </w:tc>
        <w:tc>
          <w:tcPr>
            <w:tcW w:w="1972"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基础每人每科85元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专业客观题每人每科65元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专业主观题每人每科65元</w:t>
            </w:r>
          </w:p>
        </w:tc>
        <w:tc>
          <w:tcPr>
            <w:tcW w:w="2190" w:type="dxa"/>
            <w:gridSpan w:val="2"/>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c>
          <w:tcPr>
            <w:tcW w:w="1833" w:type="dxa"/>
            <w:gridSpan w:val="3"/>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95" w:hRule="atLeast"/>
          <w:jc w:val="center"/>
        </w:trPr>
        <w:tc>
          <w:tcPr>
            <w:tcW w:w="2323"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公用设备</w:t>
            </w:r>
          </w:p>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工程师</w:t>
            </w:r>
          </w:p>
        </w:tc>
        <w:tc>
          <w:tcPr>
            <w:tcW w:w="1930"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各类别基础每人每科14元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给水排水专业客观题每人每科15元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给水排水专业主观题每人每科19元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暖通空调专业客观题每人每科18元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暖通空调专业主观题每人每科22元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动力专业客观题每人每科20元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动力专业主观题每人每科25元</w:t>
            </w:r>
          </w:p>
        </w:tc>
        <w:tc>
          <w:tcPr>
            <w:tcW w:w="1972"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各类别基础每人每科85元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给水排水专业客观题每人每科65元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给水排水专业主观题每人每科65元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暖通空调专业客观题每人每科65元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暖通空调专业主观题每人每科65元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动力专业客观题每人每科65元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动力专业主观题每人每科65元</w:t>
            </w:r>
          </w:p>
        </w:tc>
        <w:tc>
          <w:tcPr>
            <w:tcW w:w="2190" w:type="dxa"/>
            <w:gridSpan w:val="2"/>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c>
          <w:tcPr>
            <w:tcW w:w="1833" w:type="dxa"/>
            <w:gridSpan w:val="3"/>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02" w:hRule="atLeast"/>
          <w:jc w:val="center"/>
        </w:trPr>
        <w:tc>
          <w:tcPr>
            <w:tcW w:w="2323"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化工工程师</w:t>
            </w:r>
          </w:p>
        </w:tc>
        <w:tc>
          <w:tcPr>
            <w:tcW w:w="1930"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基础每人每科20元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专业客观题每人每科20元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专业主观题每人每科25元</w:t>
            </w:r>
          </w:p>
        </w:tc>
        <w:tc>
          <w:tcPr>
            <w:tcW w:w="1972"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基础每人每科85元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专业客观题每人每科65元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专业主观题每人每科65元</w:t>
            </w:r>
          </w:p>
        </w:tc>
        <w:tc>
          <w:tcPr>
            <w:tcW w:w="2190" w:type="dxa"/>
            <w:gridSpan w:val="2"/>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c>
          <w:tcPr>
            <w:tcW w:w="1833" w:type="dxa"/>
            <w:gridSpan w:val="3"/>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r>
    </w:tbl>
    <w:p/>
    <w:tbl>
      <w:tblPr>
        <w:tblStyle w:val="4"/>
        <w:tblW w:w="1024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01"/>
        <w:gridCol w:w="1914"/>
        <w:gridCol w:w="2010"/>
        <w:gridCol w:w="2190"/>
        <w:gridCol w:w="18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28" w:hRule="atLeast"/>
          <w:jc w:val="center"/>
        </w:trPr>
        <w:tc>
          <w:tcPr>
            <w:tcW w:w="2301"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电气工程师</w:t>
            </w:r>
          </w:p>
        </w:tc>
        <w:tc>
          <w:tcPr>
            <w:tcW w:w="1914"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各类别基础每人每科14元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供配电专业客观题每人每科15元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供配电专业主观题每人每科19元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发输变电专业客观题每人每科18元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发输变电专业主观题每人每科22元</w:t>
            </w:r>
          </w:p>
        </w:tc>
        <w:tc>
          <w:tcPr>
            <w:tcW w:w="2010"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各类别基础每人每科85元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供配电专业客观题每人每科65元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发输变电专业客观题每人每科65元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供配电专业主观题每人每科65元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发输变电专业主观题每人每科65元</w:t>
            </w:r>
          </w:p>
        </w:tc>
        <w:tc>
          <w:tcPr>
            <w:tcW w:w="2190"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c>
          <w:tcPr>
            <w:tcW w:w="1833"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0" w:hRule="atLeast"/>
          <w:jc w:val="center"/>
        </w:trPr>
        <w:tc>
          <w:tcPr>
            <w:tcW w:w="2301"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土木工程师</w:t>
            </w:r>
          </w:p>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（港口与航道工程）</w:t>
            </w:r>
          </w:p>
        </w:tc>
        <w:tc>
          <w:tcPr>
            <w:tcW w:w="1914"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基础每人每科33元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专业客观题每人每科30元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专业主观题每人每科30元</w:t>
            </w:r>
          </w:p>
        </w:tc>
        <w:tc>
          <w:tcPr>
            <w:tcW w:w="2010"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基础每人每科85元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专业客观题每人每科65元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专业主观题每人每科65元</w:t>
            </w:r>
          </w:p>
        </w:tc>
        <w:tc>
          <w:tcPr>
            <w:tcW w:w="2190"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c>
          <w:tcPr>
            <w:tcW w:w="1833"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0" w:hRule="atLeast"/>
          <w:jc w:val="center"/>
        </w:trPr>
        <w:tc>
          <w:tcPr>
            <w:tcW w:w="2301"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环保工程师</w:t>
            </w:r>
          </w:p>
        </w:tc>
        <w:tc>
          <w:tcPr>
            <w:tcW w:w="1914"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基础每人每科20元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专业客观题每人每科20元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专业主观题每人每科25元</w:t>
            </w:r>
          </w:p>
        </w:tc>
        <w:tc>
          <w:tcPr>
            <w:tcW w:w="2010"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基础每人每科85元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专业客观题每人每科65元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专业主观题每人每科65元</w:t>
            </w:r>
          </w:p>
        </w:tc>
        <w:tc>
          <w:tcPr>
            <w:tcW w:w="2190"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c>
          <w:tcPr>
            <w:tcW w:w="1833"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0" w:hRule="atLeast"/>
          <w:jc w:val="center"/>
        </w:trPr>
        <w:tc>
          <w:tcPr>
            <w:tcW w:w="2301"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土木工程师</w:t>
            </w:r>
          </w:p>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（水利水电工程）</w:t>
            </w:r>
          </w:p>
        </w:tc>
        <w:tc>
          <w:tcPr>
            <w:tcW w:w="1914"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各类别基础每人每科23元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各类别专业客观题每人每科25元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各类别专业主观题每人每科30元</w:t>
            </w:r>
          </w:p>
        </w:tc>
        <w:tc>
          <w:tcPr>
            <w:tcW w:w="2010"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各类别基础每人每科85元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各类别专业客观题每人每科65元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各类别专业主观题每人每科65元</w:t>
            </w:r>
          </w:p>
        </w:tc>
        <w:tc>
          <w:tcPr>
            <w:tcW w:w="2190"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c>
          <w:tcPr>
            <w:tcW w:w="1833"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0" w:hRule="atLeast"/>
          <w:jc w:val="center"/>
        </w:trPr>
        <w:tc>
          <w:tcPr>
            <w:tcW w:w="2301"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土木工程师</w:t>
            </w:r>
          </w:p>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（道路工程）</w:t>
            </w:r>
          </w:p>
        </w:tc>
        <w:tc>
          <w:tcPr>
            <w:tcW w:w="1914"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各类别基础每人每科20元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各类别专业客观题每人每科15元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各类别专业主观题每人每科19元</w:t>
            </w:r>
          </w:p>
        </w:tc>
        <w:tc>
          <w:tcPr>
            <w:tcW w:w="2010"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各类别基础每人每科85元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各类别专业客观题每人每科65元</w:t>
            </w:r>
          </w:p>
          <w:p>
            <w:pPr>
              <w:numPr>
                <w:ilvl w:val="0"/>
                <w:numId w:val="0"/>
              </w:numPr>
              <w:wordWrap w:val="0"/>
              <w:autoSpaceDE/>
              <w:autoSpaceDN/>
              <w:spacing w:before="0" w:after="160" w:line="240" w:lineRule="auto"/>
              <w:ind w:right="0" w:firstLine="0"/>
              <w:jc w:val="left"/>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各类别专业主观题每人每科65元</w:t>
            </w:r>
          </w:p>
        </w:tc>
        <w:tc>
          <w:tcPr>
            <w:tcW w:w="2190"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c>
          <w:tcPr>
            <w:tcW w:w="1833"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r>
    </w:tbl>
    <w:p/>
    <w:tbl>
      <w:tblPr>
        <w:tblStyle w:val="4"/>
        <w:tblW w:w="1024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01"/>
        <w:gridCol w:w="1914"/>
        <w:gridCol w:w="2010"/>
        <w:gridCol w:w="2190"/>
        <w:gridCol w:w="18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00" w:hRule="atLeast"/>
          <w:jc w:val="center"/>
        </w:trPr>
        <w:tc>
          <w:tcPr>
            <w:tcW w:w="2301"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000000"/>
                <w:position w:val="0"/>
                <w:sz w:val="21"/>
                <w:szCs w:val="21"/>
              </w:rPr>
            </w:pPr>
            <w:r>
              <w:rPr>
                <w:rFonts w:hint="default" w:ascii="Times New Roman" w:hAnsi="Times New Roman" w:eastAsia="Times New Roman"/>
                <w:b/>
                <w:color w:val="000000"/>
                <w:position w:val="0"/>
                <w:sz w:val="21"/>
                <w:szCs w:val="21"/>
              </w:rPr>
              <w:t>注册城乡规划师</w:t>
            </w:r>
          </w:p>
        </w:tc>
        <w:tc>
          <w:tcPr>
            <w:tcW w:w="1914"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both"/>
              <w:rPr>
                <w:rFonts w:hint="default" w:ascii="Times New Roman" w:hAnsi="Times New Roman" w:eastAsia="Times New Roman"/>
                <w:color w:val="000000"/>
                <w:position w:val="0"/>
                <w:sz w:val="21"/>
                <w:szCs w:val="21"/>
              </w:rPr>
            </w:pPr>
            <w:r>
              <w:rPr>
                <w:rFonts w:hint="default" w:ascii="Times New Roman" w:hAnsi="Times New Roman" w:eastAsia="Times New Roman"/>
                <w:color w:val="000000"/>
                <w:position w:val="0"/>
                <w:sz w:val="21"/>
                <w:szCs w:val="21"/>
              </w:rPr>
              <w:t>客观题科目每人每科13元</w:t>
            </w:r>
          </w:p>
          <w:p>
            <w:pPr>
              <w:numPr>
                <w:ilvl w:val="0"/>
                <w:numId w:val="0"/>
              </w:numPr>
              <w:wordWrap w:val="0"/>
              <w:autoSpaceDE/>
              <w:autoSpaceDN/>
              <w:spacing w:before="0" w:after="160" w:line="240" w:lineRule="auto"/>
              <w:ind w:right="0" w:firstLine="0"/>
              <w:jc w:val="both"/>
              <w:rPr>
                <w:rFonts w:hint="default" w:ascii="Times New Roman" w:hAnsi="Times New Roman" w:eastAsia="Times New Roman"/>
                <w:color w:val="000000"/>
                <w:position w:val="0"/>
                <w:sz w:val="21"/>
                <w:szCs w:val="21"/>
              </w:rPr>
            </w:pPr>
            <w:r>
              <w:rPr>
                <w:rFonts w:hint="default" w:ascii="Times New Roman" w:hAnsi="Times New Roman" w:eastAsia="Times New Roman"/>
                <w:color w:val="000000"/>
                <w:position w:val="0"/>
                <w:sz w:val="21"/>
                <w:szCs w:val="21"/>
              </w:rPr>
              <w:t>主观题科目每人每科17元</w:t>
            </w:r>
          </w:p>
        </w:tc>
        <w:tc>
          <w:tcPr>
            <w:tcW w:w="2010" w:type="dxa"/>
            <w:tcBorders>
              <w:top w:val="single" w:color="auto" w:sz="4" w:space="0"/>
              <w:left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both"/>
              <w:rPr>
                <w:rFonts w:hint="default" w:ascii="Times New Roman" w:hAnsi="Times New Roman" w:eastAsia="Times New Roman"/>
                <w:color w:val="000000"/>
                <w:position w:val="0"/>
                <w:sz w:val="21"/>
                <w:szCs w:val="21"/>
              </w:rPr>
            </w:pPr>
            <w:r>
              <w:rPr>
                <w:rFonts w:hint="default" w:ascii="Times New Roman" w:hAnsi="Times New Roman" w:eastAsia="Times New Roman"/>
                <w:color w:val="000000"/>
                <w:position w:val="0"/>
                <w:sz w:val="21"/>
                <w:szCs w:val="21"/>
              </w:rPr>
              <w:t>客观题科目每人每科65元</w:t>
            </w:r>
          </w:p>
          <w:p>
            <w:pPr>
              <w:numPr>
                <w:ilvl w:val="0"/>
                <w:numId w:val="0"/>
              </w:numPr>
              <w:wordWrap w:val="0"/>
              <w:autoSpaceDE/>
              <w:autoSpaceDN/>
              <w:spacing w:before="0" w:after="160" w:line="240" w:lineRule="auto"/>
              <w:ind w:right="0" w:firstLine="0"/>
              <w:jc w:val="both"/>
              <w:rPr>
                <w:rFonts w:hint="default" w:ascii="Times New Roman" w:hAnsi="Times New Roman" w:eastAsia="Times New Roman"/>
                <w:color w:val="000000"/>
                <w:position w:val="0"/>
                <w:sz w:val="21"/>
                <w:szCs w:val="21"/>
              </w:rPr>
            </w:pPr>
            <w:r>
              <w:rPr>
                <w:rFonts w:hint="default" w:ascii="Times New Roman" w:hAnsi="Times New Roman" w:eastAsia="Times New Roman"/>
                <w:color w:val="000000"/>
                <w:position w:val="0"/>
                <w:sz w:val="21"/>
                <w:szCs w:val="21"/>
              </w:rPr>
              <w:t>主观题科目每人每科65元</w:t>
            </w:r>
          </w:p>
        </w:tc>
        <w:tc>
          <w:tcPr>
            <w:tcW w:w="2190"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eastAsia" w:ascii="Times New Roman" w:hAnsi="Times New Roman" w:eastAsia="宋体"/>
                <w:color w:val="auto"/>
                <w:position w:val="0"/>
                <w:sz w:val="21"/>
                <w:szCs w:val="21"/>
                <w:lang w:val="en-US" w:eastAsia="zh-CN"/>
              </w:rPr>
            </w:pPr>
            <w:r>
              <w:rPr>
                <w:rFonts w:hint="default" w:ascii="Times New Roman" w:hAnsi="Times New Roman" w:eastAsia="Times New Roman"/>
                <w:color w:val="auto"/>
                <w:position w:val="0"/>
                <w:sz w:val="21"/>
                <w:szCs w:val="21"/>
              </w:rPr>
              <w:t>《人力资源社会保障部办公厅关于下发执业药师资格考试等18项专业技术人员资格考试考务费收费标准的通知》（人社厅函〔2015〕278号）</w:t>
            </w:r>
            <w:r>
              <w:rPr>
                <w:rFonts w:hint="eastAsia" w:eastAsia="宋体"/>
                <w:color w:val="auto"/>
                <w:position w:val="0"/>
                <w:sz w:val="21"/>
                <w:szCs w:val="21"/>
                <w:lang w:val="en-US" w:eastAsia="zh-CN"/>
              </w:rPr>
              <w:t xml:space="preserve"> </w:t>
            </w:r>
          </w:p>
        </w:tc>
        <w:tc>
          <w:tcPr>
            <w:tcW w:w="1833" w:type="dxa"/>
            <w:tcBorders>
              <w:left w:val="single" w:color="auto" w:sz="4" w:space="0"/>
              <w:bottom w:val="single" w:color="auto" w:sz="4" w:space="0"/>
              <w:right w:val="single" w:color="auto" w:sz="4" w:space="0"/>
            </w:tcBorders>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3" w:hRule="exact"/>
          <w:jc w:val="center"/>
        </w:trPr>
        <w:tc>
          <w:tcPr>
            <w:tcW w:w="2301" w:type="dxa"/>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出版</w:t>
            </w:r>
          </w:p>
        </w:tc>
        <w:tc>
          <w:tcPr>
            <w:tcW w:w="1914" w:type="dxa"/>
            <w:shd w:val="clear" w:color="auto" w:fill="auto"/>
            <w:vAlign w:val="center"/>
          </w:tcPr>
          <w:p>
            <w:pPr>
              <w:numPr>
                <w:ilvl w:val="0"/>
                <w:numId w:val="0"/>
              </w:numPr>
              <w:wordWrap w:val="0"/>
              <w:autoSpaceDE/>
              <w:autoSpaceDN/>
              <w:spacing w:before="0" w:after="160" w:line="240" w:lineRule="auto"/>
              <w:ind w:right="0" w:firstLine="0"/>
              <w:jc w:val="both"/>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每人每科18元</w:t>
            </w:r>
          </w:p>
        </w:tc>
        <w:tc>
          <w:tcPr>
            <w:tcW w:w="2010" w:type="dxa"/>
            <w:shd w:val="clear" w:color="auto" w:fill="auto"/>
            <w:vAlign w:val="center"/>
          </w:tcPr>
          <w:p>
            <w:pPr>
              <w:numPr>
                <w:ilvl w:val="0"/>
                <w:numId w:val="0"/>
              </w:numPr>
              <w:wordWrap w:val="0"/>
              <w:autoSpaceDE/>
              <w:autoSpaceDN/>
              <w:spacing w:before="0" w:after="160" w:line="240" w:lineRule="auto"/>
              <w:ind w:right="0" w:firstLine="0"/>
              <w:jc w:val="both"/>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每人每科65元</w:t>
            </w:r>
          </w:p>
        </w:tc>
        <w:tc>
          <w:tcPr>
            <w:tcW w:w="2190" w:type="dxa"/>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c>
          <w:tcPr>
            <w:tcW w:w="1833" w:type="dxa"/>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09" w:hRule="atLeast"/>
          <w:jc w:val="center"/>
        </w:trPr>
        <w:tc>
          <w:tcPr>
            <w:tcW w:w="2301" w:type="dxa"/>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黑体" w:eastAsia="黑体"/>
                <w:b/>
                <w:color w:val="000000"/>
                <w:position w:val="0"/>
                <w:sz w:val="21"/>
                <w:szCs w:val="21"/>
              </w:rPr>
            </w:pPr>
            <w:r>
              <w:rPr>
                <w:rFonts w:hint="default" w:ascii="Times New Roman" w:hAnsi="Times New Roman" w:eastAsia="Times New Roman"/>
                <w:b/>
                <w:color w:val="000000"/>
                <w:position w:val="0"/>
                <w:sz w:val="21"/>
                <w:szCs w:val="21"/>
              </w:rPr>
              <w:t>一级造价工程师</w:t>
            </w:r>
          </w:p>
        </w:tc>
        <w:tc>
          <w:tcPr>
            <w:tcW w:w="1914" w:type="dxa"/>
            <w:shd w:val="clear" w:color="auto" w:fill="auto"/>
            <w:vAlign w:val="center"/>
          </w:tcPr>
          <w:p>
            <w:pPr>
              <w:numPr>
                <w:ilvl w:val="0"/>
                <w:numId w:val="0"/>
              </w:numPr>
              <w:wordWrap w:val="0"/>
              <w:autoSpaceDE/>
              <w:autoSpaceDN/>
              <w:spacing w:before="0" w:after="160" w:line="240" w:lineRule="auto"/>
              <w:ind w:right="0" w:firstLine="0"/>
              <w:jc w:val="both"/>
              <w:rPr>
                <w:rFonts w:hint="default" w:ascii="Times New Roman" w:hAnsi="Times New Roman" w:eastAsia="Times New Roman"/>
                <w:color w:val="000000"/>
                <w:position w:val="0"/>
                <w:sz w:val="21"/>
                <w:szCs w:val="21"/>
              </w:rPr>
            </w:pPr>
            <w:r>
              <w:rPr>
                <w:rFonts w:hint="default" w:ascii="Times New Roman" w:hAnsi="Times New Roman" w:eastAsia="Times New Roman"/>
                <w:color w:val="000000"/>
                <w:position w:val="0"/>
                <w:sz w:val="21"/>
                <w:szCs w:val="21"/>
              </w:rPr>
              <w:t>客观题科目每人每科11元</w:t>
            </w:r>
          </w:p>
          <w:p>
            <w:pPr>
              <w:numPr>
                <w:ilvl w:val="0"/>
                <w:numId w:val="0"/>
              </w:numPr>
              <w:wordWrap w:val="0"/>
              <w:autoSpaceDE/>
              <w:autoSpaceDN/>
              <w:spacing w:before="0" w:after="160" w:line="240" w:lineRule="auto"/>
              <w:ind w:right="0" w:firstLine="0"/>
              <w:jc w:val="both"/>
              <w:rPr>
                <w:rFonts w:hint="default" w:ascii="Times New Roman" w:hAnsi="黑体" w:eastAsia="黑体"/>
                <w:b/>
                <w:color w:val="000000"/>
                <w:position w:val="0"/>
                <w:sz w:val="21"/>
                <w:szCs w:val="21"/>
              </w:rPr>
            </w:pPr>
            <w:r>
              <w:rPr>
                <w:rFonts w:hint="default" w:ascii="Times New Roman" w:hAnsi="Times New Roman" w:eastAsia="Times New Roman"/>
                <w:color w:val="000000"/>
                <w:position w:val="0"/>
                <w:sz w:val="21"/>
                <w:szCs w:val="21"/>
              </w:rPr>
              <w:t>主观题科目每人每科19元</w:t>
            </w:r>
          </w:p>
        </w:tc>
        <w:tc>
          <w:tcPr>
            <w:tcW w:w="2010" w:type="dxa"/>
            <w:shd w:val="clear" w:color="auto" w:fill="auto"/>
            <w:vAlign w:val="center"/>
          </w:tcPr>
          <w:p>
            <w:pPr>
              <w:numPr>
                <w:ilvl w:val="0"/>
                <w:numId w:val="0"/>
              </w:numPr>
              <w:wordWrap w:val="0"/>
              <w:autoSpaceDE/>
              <w:autoSpaceDN/>
              <w:spacing w:before="0" w:after="160" w:line="240" w:lineRule="auto"/>
              <w:ind w:right="0" w:firstLine="0"/>
              <w:jc w:val="both"/>
              <w:rPr>
                <w:rFonts w:hint="default" w:ascii="Times New Roman" w:hAnsi="Times New Roman" w:eastAsia="Times New Roman"/>
                <w:color w:val="000000"/>
                <w:position w:val="0"/>
                <w:sz w:val="21"/>
                <w:szCs w:val="21"/>
              </w:rPr>
            </w:pPr>
            <w:r>
              <w:rPr>
                <w:rFonts w:hint="default" w:ascii="Times New Roman" w:hAnsi="Times New Roman" w:eastAsia="Times New Roman"/>
                <w:color w:val="000000"/>
                <w:position w:val="0"/>
                <w:sz w:val="21"/>
                <w:szCs w:val="21"/>
              </w:rPr>
              <w:t>客观题科目每人每科63元</w:t>
            </w:r>
          </w:p>
          <w:p>
            <w:pPr>
              <w:numPr>
                <w:ilvl w:val="0"/>
                <w:numId w:val="0"/>
              </w:numPr>
              <w:wordWrap w:val="0"/>
              <w:autoSpaceDE/>
              <w:autoSpaceDN/>
              <w:spacing w:before="0" w:after="160" w:line="240" w:lineRule="auto"/>
              <w:ind w:right="0" w:firstLine="0"/>
              <w:jc w:val="both"/>
              <w:rPr>
                <w:rFonts w:hint="default" w:ascii="Times New Roman" w:hAnsi="Times New Roman" w:eastAsia="Times New Roman"/>
                <w:color w:val="000000"/>
                <w:position w:val="0"/>
                <w:sz w:val="21"/>
                <w:szCs w:val="21"/>
              </w:rPr>
            </w:pPr>
            <w:r>
              <w:rPr>
                <w:rFonts w:hint="default" w:ascii="Times New Roman" w:hAnsi="Times New Roman" w:eastAsia="Times New Roman"/>
                <w:color w:val="000000"/>
                <w:position w:val="0"/>
                <w:sz w:val="21"/>
                <w:szCs w:val="21"/>
              </w:rPr>
              <w:t>主观题科目每人每科82元</w:t>
            </w:r>
          </w:p>
        </w:tc>
        <w:tc>
          <w:tcPr>
            <w:tcW w:w="2190" w:type="dxa"/>
            <w:shd w:val="clear" w:color="auto" w:fill="auto"/>
            <w:vAlign w:val="center"/>
          </w:tcPr>
          <w:p>
            <w:pPr>
              <w:numPr>
                <w:ilvl w:val="0"/>
                <w:numId w:val="0"/>
              </w:numPr>
              <w:wordWrap w:val="0"/>
              <w:autoSpaceDE/>
              <w:autoSpaceDN/>
              <w:spacing w:before="0" w:after="160" w:line="240" w:lineRule="auto"/>
              <w:ind w:right="0" w:firstLine="0"/>
              <w:jc w:val="both"/>
              <w:rPr>
                <w:rFonts w:hint="default" w:ascii="Times New Roman" w:hAnsi="黑体" w:eastAsia="黑体"/>
                <w:b/>
                <w:color w:val="000000"/>
                <w:position w:val="0"/>
                <w:sz w:val="21"/>
                <w:szCs w:val="21"/>
              </w:rPr>
            </w:pPr>
            <w:r>
              <w:rPr>
                <w:rFonts w:hint="default" w:ascii="Times New Roman" w:hAnsi="Times New Roman" w:eastAsia="Times New Roman"/>
                <w:color w:val="auto"/>
                <w:position w:val="0"/>
                <w:sz w:val="21"/>
                <w:szCs w:val="21"/>
              </w:rPr>
              <w:t xml:space="preserve">       同上</w:t>
            </w:r>
          </w:p>
        </w:tc>
        <w:tc>
          <w:tcPr>
            <w:tcW w:w="1833" w:type="dxa"/>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黑体" w:eastAsia="黑体"/>
                <w:b/>
                <w:color w:val="000000"/>
                <w:position w:val="0"/>
                <w:sz w:val="21"/>
                <w:szCs w:val="21"/>
              </w:rPr>
            </w:pPr>
            <w:r>
              <w:rPr>
                <w:rFonts w:hint="default" w:ascii="Times New Roman" w:hAnsi="Times New Roman" w:eastAsia="Times New Roman"/>
                <w:color w:val="auto"/>
                <w:position w:val="0"/>
                <w:sz w:val="21"/>
                <w:szCs w:val="21"/>
              </w:rPr>
              <w:t>同上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62" w:hRule="atLeast"/>
          <w:jc w:val="center"/>
        </w:trPr>
        <w:tc>
          <w:tcPr>
            <w:tcW w:w="2301" w:type="dxa"/>
            <w:tcBorders>
              <w:top w:val="single" w:color="auto" w:sz="4" w:space="0"/>
              <w:left w:val="single" w:color="auto" w:sz="4" w:space="0"/>
              <w:bottom w:val="single" w:color="auto" w:sz="4" w:space="0"/>
              <w:right w:val="single" w:color="auto" w:sz="4" w:space="0"/>
            </w:tcBorders>
            <w:vAlign w:val="center"/>
          </w:tcPr>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color w:val="000000"/>
                <w:spacing w:val="0"/>
                <w:position w:val="0"/>
                <w:sz w:val="21"/>
                <w:szCs w:val="21"/>
              </w:rPr>
            </w:pPr>
            <w:r>
              <w:rPr>
                <w:rFonts w:hint="default" w:ascii="Times New Roman" w:hAnsi="宋体" w:eastAsia="宋体"/>
                <w:b/>
                <w:color w:val="000000"/>
                <w:spacing w:val="0"/>
                <w:position w:val="0"/>
                <w:sz w:val="21"/>
                <w:szCs w:val="21"/>
              </w:rPr>
              <w:t>注册计量师</w:t>
            </w:r>
          </w:p>
        </w:tc>
        <w:tc>
          <w:tcPr>
            <w:tcW w:w="1914" w:type="dxa"/>
            <w:tcBorders>
              <w:top w:val="single" w:color="auto" w:sz="4" w:space="0"/>
              <w:left w:val="single" w:color="auto" w:sz="4" w:space="0"/>
              <w:bottom w:val="single" w:color="auto" w:sz="4" w:space="0"/>
              <w:right w:val="single" w:color="auto" w:sz="4" w:space="0"/>
            </w:tcBorders>
            <w:vAlign w:val="center"/>
          </w:tcPr>
          <w:p>
            <w:pPr>
              <w:pageBreakBefore w:val="0"/>
              <w:numPr>
                <w:ilvl w:val="0"/>
                <w:numId w:val="0"/>
              </w:numPr>
              <w:wordWrap w:val="0"/>
              <w:autoSpaceDE/>
              <w:autoSpaceDN/>
              <w:bidi w:val="0"/>
              <w:snapToGrid/>
              <w:spacing w:before="0" w:after="0" w:line="240" w:lineRule="auto"/>
              <w:ind w:right="0" w:firstLine="0"/>
              <w:jc w:val="both"/>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一级注册计量师客观题每人每科20元、主观题每人每科25元，二级注册计量师每人每科18元。</w:t>
            </w:r>
          </w:p>
        </w:tc>
        <w:tc>
          <w:tcPr>
            <w:tcW w:w="2010" w:type="dxa"/>
            <w:tcBorders>
              <w:top w:val="single" w:color="auto" w:sz="4" w:space="0"/>
              <w:left w:val="single" w:color="auto" w:sz="4" w:space="0"/>
              <w:bottom w:val="single" w:color="auto" w:sz="4" w:space="0"/>
              <w:right w:val="single" w:color="auto" w:sz="4" w:space="0"/>
            </w:tcBorders>
            <w:vAlign w:val="center"/>
          </w:tcPr>
          <w:p>
            <w:pPr>
              <w:pageBreakBefore w:val="0"/>
              <w:numPr>
                <w:ilvl w:val="0"/>
                <w:numId w:val="0"/>
              </w:numPr>
              <w:wordWrap w:val="0"/>
              <w:autoSpaceDE/>
              <w:autoSpaceDN/>
              <w:bidi w:val="0"/>
              <w:snapToGrid/>
              <w:spacing w:before="0" w:after="0" w:line="240" w:lineRule="auto"/>
              <w:ind w:right="0" w:firstLine="0"/>
              <w:jc w:val="left"/>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每人每科65元</w:t>
            </w:r>
          </w:p>
        </w:tc>
        <w:tc>
          <w:tcPr>
            <w:tcW w:w="2190" w:type="dxa"/>
            <w:tcBorders>
              <w:top w:val="single" w:color="auto" w:sz="4" w:space="0"/>
              <w:left w:val="single" w:color="auto" w:sz="4" w:space="0"/>
              <w:bottom w:val="single" w:color="auto" w:sz="4" w:space="0"/>
              <w:right w:val="single" w:color="auto" w:sz="4" w:space="0"/>
            </w:tcBorders>
            <w:vAlign w:val="center"/>
          </w:tcPr>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同上</w:t>
            </w:r>
          </w:p>
        </w:tc>
        <w:tc>
          <w:tcPr>
            <w:tcW w:w="1833" w:type="dxa"/>
            <w:tcBorders>
              <w:top w:val="single" w:color="auto" w:sz="4" w:space="0"/>
              <w:left w:val="single" w:color="auto" w:sz="4" w:space="0"/>
              <w:bottom w:val="single" w:color="auto" w:sz="4" w:space="0"/>
              <w:right w:val="single" w:color="auto" w:sz="4" w:space="0"/>
            </w:tcBorders>
            <w:vAlign w:val="center"/>
          </w:tcPr>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同上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301" w:type="dxa"/>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000000"/>
                <w:position w:val="0"/>
                <w:sz w:val="21"/>
                <w:szCs w:val="21"/>
              </w:rPr>
            </w:pPr>
            <w:r>
              <w:rPr>
                <w:rFonts w:hint="default" w:ascii="Times New Roman" w:hAnsi="Times New Roman" w:eastAsia="Times New Roman"/>
                <w:b/>
                <w:color w:val="000000"/>
                <w:position w:val="0"/>
                <w:sz w:val="21"/>
                <w:szCs w:val="21"/>
              </w:rPr>
              <w:t>中级注册安全工程师</w:t>
            </w:r>
          </w:p>
        </w:tc>
        <w:tc>
          <w:tcPr>
            <w:tcW w:w="1914" w:type="dxa"/>
            <w:shd w:val="clear" w:color="auto" w:fill="auto"/>
            <w:vAlign w:val="center"/>
          </w:tcPr>
          <w:p>
            <w:pPr>
              <w:numPr>
                <w:ilvl w:val="0"/>
                <w:numId w:val="0"/>
              </w:numPr>
              <w:wordWrap w:val="0"/>
              <w:autoSpaceDE/>
              <w:autoSpaceDN/>
              <w:spacing w:before="0" w:after="160" w:line="240" w:lineRule="auto"/>
              <w:ind w:right="0" w:firstLine="0"/>
              <w:jc w:val="both"/>
              <w:rPr>
                <w:rFonts w:hint="default" w:ascii="Times New Roman" w:hAnsi="Times New Roman" w:eastAsia="Times New Roman"/>
                <w:color w:val="000000"/>
                <w:position w:val="0"/>
                <w:sz w:val="21"/>
                <w:szCs w:val="21"/>
              </w:rPr>
            </w:pPr>
            <w:r>
              <w:rPr>
                <w:rFonts w:hint="default" w:ascii="Times New Roman" w:hAnsi="Times New Roman" w:eastAsia="Times New Roman"/>
                <w:color w:val="000000"/>
                <w:position w:val="0"/>
                <w:sz w:val="21"/>
                <w:szCs w:val="21"/>
              </w:rPr>
              <w:t>客观题科目每人每科11元</w:t>
            </w:r>
          </w:p>
          <w:p>
            <w:pPr>
              <w:numPr>
                <w:ilvl w:val="0"/>
                <w:numId w:val="0"/>
              </w:numPr>
              <w:wordWrap w:val="0"/>
              <w:autoSpaceDE/>
              <w:autoSpaceDN/>
              <w:spacing w:before="0" w:after="160" w:line="240" w:lineRule="auto"/>
              <w:ind w:right="0" w:firstLine="0"/>
              <w:jc w:val="both"/>
              <w:rPr>
                <w:rFonts w:hint="default" w:ascii="Times New Roman" w:hAnsi="Times New Roman" w:eastAsia="Times New Roman"/>
                <w:color w:val="000000"/>
                <w:position w:val="0"/>
                <w:sz w:val="21"/>
                <w:szCs w:val="21"/>
              </w:rPr>
            </w:pPr>
            <w:r>
              <w:rPr>
                <w:rFonts w:hint="default" w:ascii="Times New Roman" w:hAnsi="Times New Roman" w:eastAsia="Times New Roman"/>
                <w:color w:val="000000"/>
                <w:position w:val="0"/>
                <w:sz w:val="21"/>
                <w:szCs w:val="21"/>
              </w:rPr>
              <w:t>主观题科目每人每科19元</w:t>
            </w:r>
          </w:p>
        </w:tc>
        <w:tc>
          <w:tcPr>
            <w:tcW w:w="2010" w:type="dxa"/>
            <w:shd w:val="clear" w:color="auto" w:fill="auto"/>
            <w:vAlign w:val="center"/>
          </w:tcPr>
          <w:p>
            <w:pPr>
              <w:numPr>
                <w:ilvl w:val="0"/>
                <w:numId w:val="0"/>
              </w:numPr>
              <w:wordWrap w:val="0"/>
              <w:autoSpaceDE/>
              <w:autoSpaceDN/>
              <w:spacing w:before="0" w:after="160" w:line="240" w:lineRule="auto"/>
              <w:ind w:right="0" w:firstLine="0"/>
              <w:jc w:val="both"/>
              <w:rPr>
                <w:rFonts w:hint="default" w:ascii="Times New Roman" w:hAnsi="Times New Roman" w:eastAsia="Times New Roman"/>
                <w:color w:val="000000"/>
                <w:position w:val="0"/>
                <w:sz w:val="21"/>
                <w:szCs w:val="21"/>
              </w:rPr>
            </w:pPr>
            <w:r>
              <w:rPr>
                <w:rFonts w:hint="default" w:ascii="Times New Roman" w:hAnsi="Times New Roman" w:eastAsia="Times New Roman"/>
                <w:color w:val="000000"/>
                <w:position w:val="0"/>
                <w:sz w:val="21"/>
                <w:szCs w:val="21"/>
              </w:rPr>
              <w:t>客观题科目每人每科63元</w:t>
            </w:r>
          </w:p>
          <w:p>
            <w:pPr>
              <w:numPr>
                <w:ilvl w:val="0"/>
                <w:numId w:val="0"/>
              </w:numPr>
              <w:wordWrap w:val="0"/>
              <w:autoSpaceDE/>
              <w:autoSpaceDN/>
              <w:spacing w:before="0" w:after="160" w:line="240" w:lineRule="auto"/>
              <w:ind w:right="0" w:firstLine="0"/>
              <w:jc w:val="both"/>
              <w:rPr>
                <w:rFonts w:hint="default" w:ascii="Times New Roman" w:hAnsi="Times New Roman" w:eastAsia="Times New Roman"/>
                <w:color w:val="000000"/>
                <w:position w:val="0"/>
                <w:sz w:val="21"/>
                <w:szCs w:val="21"/>
              </w:rPr>
            </w:pPr>
            <w:r>
              <w:rPr>
                <w:rFonts w:hint="default" w:ascii="Times New Roman" w:hAnsi="Times New Roman" w:eastAsia="Times New Roman"/>
                <w:color w:val="000000"/>
                <w:position w:val="0"/>
                <w:sz w:val="21"/>
                <w:szCs w:val="21"/>
              </w:rPr>
              <w:t>主观题科目每人每科63元</w:t>
            </w:r>
          </w:p>
        </w:tc>
        <w:tc>
          <w:tcPr>
            <w:tcW w:w="2190" w:type="dxa"/>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《关于印发高级社会工作师职业水平考试、一级造价工程师职业资格考试和中级注册安全工程师职业资格考试考务费收费标准的通知》（人考中心函〔2019〕41号）</w:t>
            </w:r>
          </w:p>
        </w:tc>
        <w:tc>
          <w:tcPr>
            <w:tcW w:w="1833" w:type="dxa"/>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同上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90" w:hRule="atLeast"/>
          <w:jc w:val="center"/>
        </w:trPr>
        <w:tc>
          <w:tcPr>
            <w:tcW w:w="2301" w:type="dxa"/>
            <w:vAlign w:val="center"/>
          </w:tcPr>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b/>
                <w:color w:val="000000"/>
                <w:spacing w:val="0"/>
                <w:position w:val="0"/>
                <w:sz w:val="21"/>
                <w:szCs w:val="21"/>
              </w:rPr>
            </w:pPr>
            <w:r>
              <w:rPr>
                <w:rFonts w:hint="default" w:ascii="Times New Roman" w:hAnsi="宋体" w:eastAsia="宋体"/>
                <w:b/>
                <w:color w:val="000000"/>
                <w:spacing w:val="0"/>
                <w:position w:val="0"/>
                <w:sz w:val="21"/>
                <w:szCs w:val="21"/>
              </w:rPr>
              <w:t>咨询工程师</w:t>
            </w:r>
          </w:p>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b/>
                <w:color w:val="000000"/>
                <w:spacing w:val="0"/>
                <w:position w:val="0"/>
                <w:sz w:val="21"/>
                <w:szCs w:val="21"/>
              </w:rPr>
            </w:pPr>
            <w:r>
              <w:rPr>
                <w:rFonts w:hint="default" w:ascii="Times New Roman" w:hAnsi="宋体" w:eastAsia="宋体"/>
                <w:b/>
                <w:color w:val="000000"/>
                <w:spacing w:val="0"/>
                <w:position w:val="0"/>
                <w:sz w:val="21"/>
                <w:szCs w:val="21"/>
              </w:rPr>
              <w:t>（投资）</w:t>
            </w:r>
          </w:p>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b/>
                <w:color w:val="000000"/>
                <w:spacing w:val="0"/>
                <w:position w:val="0"/>
                <w:sz w:val="21"/>
                <w:szCs w:val="21"/>
              </w:rPr>
            </w:pPr>
            <w:r>
              <w:rPr>
                <w:rFonts w:hint="default" w:ascii="Times New Roman" w:hAnsi="宋体" w:eastAsia="宋体"/>
                <w:b/>
                <w:color w:val="000000"/>
                <w:spacing w:val="0"/>
                <w:position w:val="0"/>
                <w:sz w:val="21"/>
                <w:szCs w:val="21"/>
              </w:rPr>
              <w:t>职业资格考试</w:t>
            </w:r>
          </w:p>
        </w:tc>
        <w:tc>
          <w:tcPr>
            <w:tcW w:w="3924" w:type="dxa"/>
            <w:gridSpan w:val="2"/>
            <w:vAlign w:val="center"/>
          </w:tcPr>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客观题科目</w:t>
            </w:r>
          </w:p>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每人每科130元</w:t>
            </w:r>
          </w:p>
          <w:p>
            <w:pPr>
              <w:pageBreakBefore w:val="0"/>
              <w:numPr>
                <w:ilvl w:val="0"/>
                <w:numId w:val="0"/>
              </w:numPr>
              <w:wordWrap w:val="0"/>
              <w:autoSpaceDE/>
              <w:autoSpaceDN/>
              <w:bidi w:val="0"/>
              <w:snapToGrid/>
              <w:spacing w:before="0" w:after="0" w:line="240" w:lineRule="auto"/>
              <w:ind w:right="0" w:firstLine="0"/>
              <w:jc w:val="both"/>
              <w:rPr>
                <w:rFonts w:hint="default" w:ascii="Times New Roman" w:hAnsi="宋体" w:eastAsia="宋体"/>
                <w:color w:val="000000"/>
                <w:spacing w:val="0"/>
                <w:position w:val="0"/>
                <w:sz w:val="21"/>
                <w:szCs w:val="21"/>
              </w:rPr>
            </w:pPr>
          </w:p>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主观题科目</w:t>
            </w:r>
          </w:p>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每人每科150元</w:t>
            </w:r>
          </w:p>
        </w:tc>
        <w:tc>
          <w:tcPr>
            <w:tcW w:w="2190" w:type="dxa"/>
            <w:vAlign w:val="center"/>
          </w:tcPr>
          <w:p>
            <w:pPr>
              <w:pageBreakBefore w:val="0"/>
              <w:numPr>
                <w:ilvl w:val="0"/>
                <w:numId w:val="0"/>
              </w:numPr>
              <w:wordWrap w:val="0"/>
              <w:autoSpaceDE/>
              <w:autoSpaceDN/>
              <w:bidi w:val="0"/>
              <w:snapToGrid/>
              <w:spacing w:before="0" w:after="0" w:line="240" w:lineRule="auto"/>
              <w:ind w:right="0" w:firstLine="0"/>
              <w:jc w:val="both"/>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《中国工程咨询协会关于咨询工程师（投资）职业资格考试有关问题说明的通知》（中咨协培〔2016〕65号）</w:t>
            </w:r>
          </w:p>
        </w:tc>
        <w:tc>
          <w:tcPr>
            <w:tcW w:w="1833" w:type="dxa"/>
            <w:vAlign w:val="top"/>
          </w:tcPr>
          <w:p>
            <w:pPr>
              <w:pageBreakBefore w:val="0"/>
              <w:numPr>
                <w:ilvl w:val="0"/>
                <w:numId w:val="0"/>
              </w:numPr>
              <w:wordWrap w:val="0"/>
              <w:autoSpaceDE/>
              <w:autoSpaceDN/>
              <w:bidi w:val="0"/>
              <w:snapToGrid/>
              <w:spacing w:before="0" w:after="0" w:line="240" w:lineRule="auto"/>
              <w:ind w:right="0" w:firstLine="0"/>
              <w:jc w:val="both"/>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咨询工程师（投资）职业资格考试收费为经营服务性收费，由中国工程咨询协会收取，收费发票由中国工程咨询协会出具。部人事考试中心按标准向各地人事考试机构支付考试费用。</w:t>
            </w:r>
          </w:p>
        </w:tc>
      </w:tr>
    </w:tbl>
    <w:p/>
    <w:p/>
    <w:tbl>
      <w:tblPr>
        <w:tblStyle w:val="4"/>
        <w:tblW w:w="1009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50"/>
        <w:gridCol w:w="1980"/>
        <w:gridCol w:w="2009"/>
        <w:gridCol w:w="2184"/>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68" w:hRule="atLeast"/>
          <w:jc w:val="center"/>
        </w:trPr>
        <w:tc>
          <w:tcPr>
            <w:tcW w:w="2150" w:type="dxa"/>
            <w:shd w:val="clear" w:color="auto" w:fill="auto"/>
            <w:vAlign w:val="center"/>
          </w:tcPr>
          <w:p>
            <w:pPr>
              <w:numPr>
                <w:ilvl w:val="0"/>
                <w:numId w:val="0"/>
              </w:numPr>
              <w:wordWrap w:val="0"/>
              <w:autoSpaceDE/>
              <w:autoSpaceDN/>
              <w:spacing w:before="0" w:after="160" w:line="240" w:lineRule="auto"/>
              <w:ind w:right="0" w:firstLine="0"/>
              <w:jc w:val="center"/>
              <w:rPr>
                <w:rFonts w:hint="default" w:ascii="Times New Roman" w:hAnsi="Times New Roman" w:eastAsia="Times New Roman"/>
                <w:b/>
                <w:color w:val="auto"/>
                <w:position w:val="0"/>
                <w:sz w:val="21"/>
                <w:szCs w:val="21"/>
              </w:rPr>
            </w:pPr>
            <w:r>
              <w:rPr>
                <w:rFonts w:hint="default" w:ascii="Times New Roman" w:hAnsi="Times New Roman" w:eastAsia="Times New Roman"/>
                <w:b/>
                <w:color w:val="auto"/>
                <w:position w:val="0"/>
                <w:sz w:val="21"/>
                <w:szCs w:val="21"/>
              </w:rPr>
              <w:t>执业药师</w:t>
            </w:r>
          </w:p>
        </w:tc>
        <w:tc>
          <w:tcPr>
            <w:tcW w:w="1980" w:type="dxa"/>
            <w:shd w:val="clear" w:color="auto" w:fill="auto"/>
            <w:vAlign w:val="center"/>
          </w:tcPr>
          <w:p>
            <w:pPr>
              <w:numPr>
                <w:ilvl w:val="0"/>
                <w:numId w:val="0"/>
              </w:numPr>
              <w:wordWrap w:val="0"/>
              <w:autoSpaceDE/>
              <w:autoSpaceDN/>
              <w:spacing w:before="0" w:after="160" w:line="240" w:lineRule="auto"/>
              <w:ind w:right="0" w:firstLine="0"/>
              <w:jc w:val="both"/>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每人每科11元</w:t>
            </w:r>
          </w:p>
        </w:tc>
        <w:tc>
          <w:tcPr>
            <w:tcW w:w="2009" w:type="dxa"/>
            <w:shd w:val="clear" w:color="auto" w:fill="auto"/>
            <w:vAlign w:val="center"/>
          </w:tcPr>
          <w:p>
            <w:pPr>
              <w:numPr>
                <w:ilvl w:val="0"/>
                <w:numId w:val="0"/>
              </w:numPr>
              <w:wordWrap w:val="0"/>
              <w:autoSpaceDE/>
              <w:autoSpaceDN/>
              <w:spacing w:before="0" w:after="160" w:line="240" w:lineRule="auto"/>
              <w:ind w:right="0" w:firstLine="0"/>
              <w:jc w:val="both"/>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每人每科57元</w:t>
            </w:r>
          </w:p>
        </w:tc>
        <w:tc>
          <w:tcPr>
            <w:tcW w:w="2184" w:type="dxa"/>
            <w:shd w:val="clear" w:color="auto" w:fill="auto"/>
            <w:vAlign w:val="center"/>
          </w:tcPr>
          <w:p>
            <w:pPr>
              <w:numPr>
                <w:ilvl w:val="0"/>
                <w:numId w:val="0"/>
              </w:numPr>
              <w:wordWrap w:val="0"/>
              <w:autoSpaceDE/>
              <w:autoSpaceDN/>
              <w:spacing w:before="0" w:after="160" w:line="240" w:lineRule="auto"/>
              <w:ind w:right="0" w:firstLine="0"/>
              <w:jc w:val="both"/>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《人力资源社会保障部办公厅关于下发执业药师资格考试等18项专业技术人员资格考试考务费收费标准的通知》（人社厅函〔2015〕278号）</w:t>
            </w:r>
          </w:p>
        </w:tc>
        <w:tc>
          <w:tcPr>
            <w:tcW w:w="1772" w:type="dxa"/>
            <w:shd w:val="clear" w:color="auto" w:fill="auto"/>
            <w:vAlign w:val="center"/>
          </w:tcPr>
          <w:p>
            <w:pPr>
              <w:numPr>
                <w:ilvl w:val="0"/>
                <w:numId w:val="0"/>
              </w:numPr>
              <w:wordWrap w:val="0"/>
              <w:autoSpaceDE/>
              <w:autoSpaceDN/>
              <w:spacing w:before="0" w:after="160" w:line="240" w:lineRule="auto"/>
              <w:ind w:right="0" w:firstLine="0"/>
              <w:jc w:val="both"/>
              <w:rPr>
                <w:rFonts w:hint="default" w:ascii="Times New Roman" w:hAnsi="Times New Roman" w:eastAsia="Times New Roman"/>
                <w:color w:val="auto"/>
                <w:position w:val="0"/>
                <w:sz w:val="21"/>
                <w:szCs w:val="21"/>
              </w:rPr>
            </w:pPr>
            <w:r>
              <w:rPr>
                <w:rFonts w:hint="default" w:ascii="Times New Roman" w:hAnsi="Times New Roman" w:eastAsia="Times New Roman"/>
                <w:color w:val="auto"/>
                <w:position w:val="0"/>
                <w:sz w:val="21"/>
                <w:szCs w:val="21"/>
              </w:rPr>
              <w:t xml:space="preserve">   承担考试报名任务的市州留用考务费4元/科，承担考试组织实施任务的市州留用考试组织费40元/科。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72" w:hRule="atLeast"/>
          <w:jc w:val="center"/>
        </w:trPr>
        <w:tc>
          <w:tcPr>
            <w:tcW w:w="2150" w:type="dxa"/>
            <w:vAlign w:val="center"/>
          </w:tcPr>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b/>
                <w:color w:val="000000"/>
                <w:spacing w:val="0"/>
                <w:position w:val="0"/>
                <w:sz w:val="21"/>
                <w:szCs w:val="21"/>
              </w:rPr>
            </w:pPr>
            <w:r>
              <w:rPr>
                <w:rFonts w:hint="default" w:ascii="Times New Roman" w:hAnsi="宋体" w:eastAsia="宋体"/>
                <w:b/>
                <w:color w:val="000000"/>
                <w:spacing w:val="0"/>
                <w:position w:val="0"/>
                <w:sz w:val="21"/>
                <w:szCs w:val="21"/>
              </w:rPr>
              <w:t>社会工作者</w:t>
            </w:r>
          </w:p>
        </w:tc>
        <w:tc>
          <w:tcPr>
            <w:tcW w:w="1980" w:type="dxa"/>
            <w:vAlign w:val="center"/>
          </w:tcPr>
          <w:p>
            <w:pPr>
              <w:pageBreakBefore w:val="0"/>
              <w:numPr>
                <w:ilvl w:val="0"/>
                <w:numId w:val="0"/>
              </w:numPr>
              <w:wordWrap w:val="0"/>
              <w:autoSpaceDE/>
              <w:autoSpaceDN/>
              <w:bidi w:val="0"/>
              <w:snapToGrid/>
              <w:spacing w:before="0" w:after="0" w:line="240" w:lineRule="auto"/>
              <w:ind w:right="0" w:firstLine="0"/>
              <w:jc w:val="both"/>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助理社会工作师、社会工作师：客观题每人每科11元，主观题每人每科15元。</w:t>
            </w:r>
          </w:p>
          <w:p>
            <w:pPr>
              <w:pageBreakBefore w:val="0"/>
              <w:numPr>
                <w:ilvl w:val="0"/>
                <w:numId w:val="0"/>
              </w:numPr>
              <w:wordWrap w:val="0"/>
              <w:autoSpaceDE/>
              <w:autoSpaceDN/>
              <w:bidi w:val="0"/>
              <w:snapToGrid/>
              <w:spacing w:before="0" w:after="0" w:line="240" w:lineRule="auto"/>
              <w:ind w:right="0" w:firstLine="0"/>
              <w:jc w:val="both"/>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高级社会工作师：</w:t>
            </w:r>
            <w:r>
              <w:rPr>
                <w:rFonts w:hint="default" w:ascii="Times New Roman" w:hAnsi="Times New Roman" w:eastAsia="Times New Roman"/>
                <w:color w:val="000000"/>
                <w:position w:val="0"/>
                <w:sz w:val="21"/>
                <w:szCs w:val="21"/>
              </w:rPr>
              <w:t>主观题科目每人每科19元</w:t>
            </w:r>
          </w:p>
        </w:tc>
        <w:tc>
          <w:tcPr>
            <w:tcW w:w="2009" w:type="dxa"/>
            <w:vAlign w:val="center"/>
          </w:tcPr>
          <w:p>
            <w:pPr>
              <w:pageBreakBefore w:val="0"/>
              <w:numPr>
                <w:ilvl w:val="0"/>
                <w:numId w:val="0"/>
              </w:numPr>
              <w:wordWrap w:val="0"/>
              <w:autoSpaceDE/>
              <w:autoSpaceDN/>
              <w:bidi w:val="0"/>
              <w:snapToGrid/>
              <w:spacing w:before="0" w:after="0" w:line="240" w:lineRule="auto"/>
              <w:ind w:right="0" w:firstLine="0"/>
              <w:jc w:val="both"/>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助理社会工作师每人每科60元。</w:t>
            </w:r>
          </w:p>
          <w:p>
            <w:pPr>
              <w:pageBreakBefore w:val="0"/>
              <w:numPr>
                <w:ilvl w:val="0"/>
                <w:numId w:val="0"/>
              </w:numPr>
              <w:wordWrap w:val="0"/>
              <w:autoSpaceDE/>
              <w:autoSpaceDN/>
              <w:bidi w:val="0"/>
              <w:snapToGrid/>
              <w:spacing w:before="0" w:after="0" w:line="240" w:lineRule="auto"/>
              <w:ind w:right="0" w:firstLine="0"/>
              <w:jc w:val="both"/>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社会工作师每人每科63元。</w:t>
            </w:r>
          </w:p>
          <w:p>
            <w:pPr>
              <w:pageBreakBefore w:val="0"/>
              <w:numPr>
                <w:ilvl w:val="0"/>
                <w:numId w:val="0"/>
              </w:numPr>
              <w:wordWrap w:val="0"/>
              <w:autoSpaceDE/>
              <w:autoSpaceDN/>
              <w:bidi w:val="0"/>
              <w:snapToGrid/>
              <w:spacing w:before="0" w:after="0" w:line="240" w:lineRule="auto"/>
              <w:ind w:right="0" w:firstLine="0"/>
              <w:jc w:val="both"/>
              <w:rPr>
                <w:rFonts w:hint="default" w:ascii="Times New Roman" w:hAnsi="宋体" w:eastAsia="宋体"/>
                <w:color w:val="000000"/>
                <w:spacing w:val="0"/>
                <w:position w:val="0"/>
                <w:sz w:val="21"/>
                <w:szCs w:val="21"/>
              </w:rPr>
            </w:pPr>
            <w:r>
              <w:rPr>
                <w:rFonts w:hint="default" w:ascii="Times New Roman" w:hAnsi="宋体" w:eastAsia="宋体"/>
                <w:color w:val="000000"/>
                <w:spacing w:val="0"/>
                <w:position w:val="0"/>
                <w:sz w:val="21"/>
                <w:szCs w:val="21"/>
              </w:rPr>
              <w:t>高级社会工作师每人每科65元。</w:t>
            </w:r>
          </w:p>
        </w:tc>
        <w:tc>
          <w:tcPr>
            <w:tcW w:w="2184" w:type="dxa"/>
            <w:vAlign w:val="center"/>
          </w:tcPr>
          <w:p>
            <w:pPr>
              <w:pageBreakBefore w:val="0"/>
              <w:numPr>
                <w:ilvl w:val="0"/>
                <w:numId w:val="0"/>
              </w:numPr>
              <w:wordWrap w:val="0"/>
              <w:autoSpaceDE/>
              <w:autoSpaceDN/>
              <w:bidi w:val="0"/>
              <w:snapToGrid/>
              <w:spacing w:before="0" w:after="0" w:line="240" w:lineRule="auto"/>
              <w:ind w:right="0" w:firstLine="0"/>
              <w:jc w:val="center"/>
              <w:rPr>
                <w:rFonts w:hint="eastAsia" w:ascii="Times New Roman" w:hAnsi="宋体" w:eastAsia="宋体"/>
                <w:b/>
                <w:color w:val="000000"/>
                <w:spacing w:val="0"/>
                <w:position w:val="0"/>
                <w:sz w:val="21"/>
                <w:szCs w:val="21"/>
                <w:lang w:val="en-US" w:eastAsia="zh-CN"/>
              </w:rPr>
            </w:pPr>
            <w:r>
              <w:rPr>
                <w:rFonts w:hint="default" w:ascii="Times New Roman" w:hAnsi="Times New Roman" w:eastAsia="Times New Roman"/>
                <w:color w:val="auto"/>
                <w:position w:val="0"/>
                <w:sz w:val="21"/>
                <w:szCs w:val="21"/>
              </w:rPr>
              <w:t>《人力资源社会保障部办公厅关于下发执业药师资格考试等18项专业技术人员资格考试考务费收费标准的通知》（人社厅函〔2015〕278号）</w:t>
            </w:r>
            <w:r>
              <w:rPr>
                <w:rFonts w:hint="eastAsia" w:eastAsia="宋体"/>
                <w:color w:val="auto"/>
                <w:position w:val="0"/>
                <w:sz w:val="21"/>
                <w:szCs w:val="21"/>
                <w:lang w:val="en-US" w:eastAsia="zh-CN"/>
              </w:rPr>
              <w:t>和《关于印发高级社会工作师职业水平考试、一级造价工程师职业资格考试和中级注册安全工程师职业资格考试考务费收费标准的通知》（人考中心函〔2019〕41号）</w:t>
            </w:r>
          </w:p>
        </w:tc>
        <w:tc>
          <w:tcPr>
            <w:tcW w:w="1772" w:type="dxa"/>
            <w:vAlign w:val="center"/>
          </w:tcPr>
          <w:p>
            <w:pPr>
              <w:pageBreakBefore w:val="0"/>
              <w:numPr>
                <w:ilvl w:val="0"/>
                <w:numId w:val="0"/>
              </w:numPr>
              <w:wordWrap w:val="0"/>
              <w:autoSpaceDE/>
              <w:autoSpaceDN/>
              <w:bidi w:val="0"/>
              <w:snapToGrid/>
              <w:spacing w:before="0" w:after="0" w:line="240" w:lineRule="auto"/>
              <w:ind w:right="0" w:firstLine="0"/>
              <w:jc w:val="center"/>
              <w:rPr>
                <w:rFonts w:hint="default" w:ascii="Times New Roman" w:hAnsi="宋体" w:eastAsia="宋体"/>
                <w:b/>
                <w:color w:val="000000"/>
                <w:spacing w:val="0"/>
                <w:position w:val="0"/>
                <w:sz w:val="21"/>
                <w:szCs w:val="21"/>
              </w:rPr>
            </w:pPr>
            <w:r>
              <w:rPr>
                <w:rFonts w:hint="default" w:ascii="Times New Roman" w:hAnsi="宋体" w:eastAsia="宋体"/>
                <w:color w:val="000000"/>
                <w:spacing w:val="0"/>
                <w:position w:val="0"/>
                <w:sz w:val="21"/>
                <w:szCs w:val="21"/>
              </w:rPr>
              <w:t>同上</w:t>
            </w:r>
          </w:p>
        </w:tc>
      </w:tr>
    </w:tbl>
    <w:p>
      <w:pPr>
        <w:numPr>
          <w:ilvl w:val="0"/>
          <w:numId w:val="0"/>
        </w:numPr>
        <w:wordWrap w:val="0"/>
        <w:autoSpaceDE/>
        <w:autoSpaceDN/>
        <w:spacing w:before="0" w:after="0" w:line="240" w:lineRule="auto"/>
        <w:ind w:right="0" w:firstLine="0"/>
        <w:jc w:val="both"/>
        <w:rPr>
          <w:rFonts w:hint="default" w:ascii="Calibri" w:hAnsi="宋体" w:eastAsia="宋体"/>
          <w:smallCaps w:val="0"/>
          <w:color w:val="auto"/>
          <w:spacing w:val="0"/>
          <w:position w:val="0"/>
          <w:sz w:val="20"/>
          <w:szCs w:val="20"/>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CD0279"/>
    <w:rsid w:val="1E55418D"/>
    <w:rsid w:val="2B7728A4"/>
    <w:rsid w:val="2CB85FC1"/>
    <w:rsid w:val="31D05680"/>
    <w:rsid w:val="337A30F1"/>
    <w:rsid w:val="3AA07BE8"/>
    <w:rsid w:val="446F11BB"/>
    <w:rsid w:val="47EF553F"/>
    <w:rsid w:val="519C10E4"/>
    <w:rsid w:val="52CD0279"/>
    <w:rsid w:val="5C4759E9"/>
    <w:rsid w:val="6605685A"/>
    <w:rsid w:val="68880C3F"/>
    <w:rsid w:val="6906056D"/>
    <w:rsid w:val="720E4039"/>
    <w:rsid w:val="766E4B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wordWrap/>
      <w:autoSpaceDE/>
      <w:autoSpaceDN/>
      <w:jc w:val="both"/>
    </w:pPr>
    <w:rPr>
      <w:rFonts w:ascii="Times New Roman" w:hAnsi="Times New Roman" w:eastAsia="Times New Roman" w:cstheme="minorBidi"/>
      <w:w w:val="100"/>
      <w:sz w:val="21"/>
      <w:szCs w:val="21"/>
      <w:shd w:val="cle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2020-07-31T00:29:00Z</dcterms:created>
  <dc:creator>巧克力豆</dc:creator>
  <cp:lastModifiedBy>巧克力豆</cp:lastModifiedBy>
  <cp:lastPrinted>2020-07-31T00:58:00Z</cp:lastPrinted>
  <dcterms:modified xsi:type="dcterms:W3CDTF">2020-08-03T01:36:27Z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