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 w:ascii="微软雅黑" w:hAnsi="微软雅黑" w:eastAsia="微软雅黑" w:cs="微软雅黑"/>
          <w:b/>
          <w:bCs/>
          <w:color w:val="203864" w:themeColor="accent5" w:themeShade="80"/>
          <w:sz w:val="40"/>
          <w:szCs w:val="48"/>
        </w:rPr>
      </w:pPr>
      <w:r>
        <w:rPr>
          <w:rFonts w:hint="eastAsia" w:ascii="微软雅黑" w:hAnsi="微软雅黑" w:eastAsia="微软雅黑" w:cs="微软雅黑"/>
          <w:b/>
          <w:bCs/>
          <w:color w:val="203864" w:themeColor="accent5" w:themeShade="80"/>
          <w:sz w:val="36"/>
          <w:szCs w:val="44"/>
        </w:rPr>
        <w:t>高等教育自学考试</w:t>
      </w:r>
      <w:r>
        <w:rPr>
          <w:rFonts w:hint="eastAsia" w:ascii="微软雅黑" w:hAnsi="微软雅黑" w:cs="微软雅黑"/>
          <w:b/>
          <w:bCs/>
          <w:color w:val="203864" w:themeColor="accent5" w:themeShade="80"/>
          <w:sz w:val="36"/>
          <w:szCs w:val="44"/>
          <w:lang w:val="en-US" w:eastAsia="zh-CN"/>
        </w:rPr>
        <w:t>实践性环节</w:t>
      </w:r>
      <w:r>
        <w:rPr>
          <w:rFonts w:hint="eastAsia" w:ascii="微软雅黑" w:hAnsi="微软雅黑" w:eastAsia="微软雅黑" w:cs="微软雅黑"/>
          <w:b/>
          <w:bCs/>
          <w:color w:val="203864" w:themeColor="accent5" w:themeShade="80"/>
          <w:sz w:val="36"/>
          <w:szCs w:val="44"/>
        </w:rPr>
        <w:t>网上报考流程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一、考生登录山西招生考试网（http://www.sxkszx.cn），先选择“考生登录”，然后选择“自学考试考生网上服务平台”。</w:t>
      </w:r>
    </w:p>
    <w:p>
      <w:pPr>
        <w:numPr>
          <w:ilvl w:val="0"/>
          <w:numId w:val="0"/>
        </w:numPr>
        <w:bidi w:val="0"/>
        <w:spacing w:line="240" w:lineRule="auto"/>
        <w:jc w:val="center"/>
      </w:pPr>
      <w:r>
        <w:drawing>
          <wp:inline distT="0" distB="0" distL="114300" distR="114300">
            <wp:extent cx="5271770" cy="3383915"/>
            <wp:effectExtent l="9525" t="9525" r="14605" b="165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38391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二、进入“山西自学考试信息服务平台”，考生可以通过“身份证号或准考证号”+“密码”登录系统。</w:t>
      </w:r>
      <w:r>
        <w:rPr>
          <w:rFonts w:hint="eastAsia"/>
          <w:b/>
          <w:bCs/>
          <w:lang w:val="en-US" w:eastAsia="zh-CN"/>
        </w:rPr>
        <w:t>未获得登录密码的在籍考生需要进行考生注册。</w:t>
      </w:r>
    </w:p>
    <w:p>
      <w:pPr>
        <w:numPr>
          <w:ilvl w:val="0"/>
          <w:numId w:val="0"/>
        </w:numPr>
        <w:bidi w:val="0"/>
        <w:spacing w:line="240" w:lineRule="auto"/>
        <w:ind w:leftChars="0"/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5808980" cy="4006850"/>
            <wp:effectExtent l="9525" t="9525" r="10795" b="2222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08980" cy="40068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bidi w:val="0"/>
        <w:ind w:leftChars="0" w:firstLine="420" w:firstLineChars="0"/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bidi w:val="0"/>
        <w:ind w:leftChars="0" w:firstLine="42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三、选择“考生注册”后，实践性环节报名的考生选择在籍考生。具体注册要求详见注册页面的提示要求。</w:t>
      </w:r>
    </w:p>
    <w:p>
      <w:pPr>
        <w:numPr>
          <w:ilvl w:val="0"/>
          <w:numId w:val="0"/>
        </w:numPr>
        <w:bidi w:val="0"/>
        <w:spacing w:line="240" w:lineRule="auto"/>
        <w:jc w:val="both"/>
        <w:rPr>
          <w:rFonts w:hint="eastAsia" w:eastAsia="微软雅黑"/>
          <w:lang w:eastAsia="zh-CN"/>
        </w:rPr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453390</wp:posOffset>
            </wp:positionH>
            <wp:positionV relativeFrom="paragraph">
              <wp:posOffset>79375</wp:posOffset>
            </wp:positionV>
            <wp:extent cx="6059170" cy="4015105"/>
            <wp:effectExtent l="9525" t="9525" r="27305" b="13970"/>
            <wp:wrapTopAndBottom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59170" cy="401510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在籍考生报名需要上传“身份证人像面照”、“手持身份证照”，系统认证通过后即获取报名资格，便可登录系统进行实践性环节报名。</w:t>
      </w: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/>
          <w:b/>
          <w:bCs/>
          <w:color w:val="C00000"/>
          <w:lang w:val="en-US" w:eastAsia="zh-CN"/>
        </w:rPr>
      </w:pPr>
      <w:r>
        <w:rPr>
          <w:rFonts w:hint="eastAsia"/>
          <w:b/>
          <w:bCs/>
          <w:color w:val="C00000"/>
          <w:lang w:val="en-US" w:eastAsia="zh-CN"/>
        </w:rPr>
        <w:t>说明：如果考生一直无法完成系统线上认证，可到所属的报名点进行人工审核。具体报名点联系方式可通过系统查询。</w:t>
      </w: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/>
          <w:b/>
          <w:bCs/>
          <w:color w:val="C00000"/>
          <w:lang w:val="en-US" w:eastAsia="zh-CN"/>
        </w:rPr>
      </w:pP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/>
          <w:b/>
          <w:bCs/>
          <w:color w:val="C00000"/>
          <w:lang w:val="en-US" w:eastAsia="zh-CN"/>
        </w:rPr>
      </w:pP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/>
          <w:b/>
          <w:bCs/>
          <w:color w:val="C00000"/>
          <w:lang w:val="en-US" w:eastAsia="zh-CN"/>
        </w:rPr>
      </w:pP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/>
          <w:b/>
          <w:bCs/>
          <w:color w:val="C00000"/>
          <w:lang w:val="en-US" w:eastAsia="zh-CN"/>
        </w:rPr>
      </w:pP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/>
          <w:b/>
          <w:bCs/>
          <w:color w:val="C00000"/>
          <w:lang w:val="en-US" w:eastAsia="zh-CN"/>
        </w:rPr>
      </w:pP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/>
          <w:b/>
          <w:bCs/>
          <w:color w:val="C00000"/>
          <w:lang w:val="en-US" w:eastAsia="zh-CN"/>
        </w:rPr>
      </w:pP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/>
          <w:b/>
          <w:bCs/>
          <w:color w:val="C00000"/>
          <w:lang w:val="en-US" w:eastAsia="zh-CN"/>
        </w:rPr>
      </w:pP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/>
          <w:b/>
          <w:bCs/>
          <w:color w:val="C00000"/>
          <w:lang w:val="en-US" w:eastAsia="zh-CN"/>
        </w:rPr>
      </w:pP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/>
          <w:b/>
          <w:bCs/>
          <w:color w:val="C00000"/>
          <w:lang w:val="en-US" w:eastAsia="zh-CN"/>
        </w:rPr>
      </w:pP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/>
          <w:b/>
          <w:bCs/>
          <w:color w:val="C00000"/>
          <w:lang w:val="en-US" w:eastAsia="zh-CN"/>
        </w:rPr>
      </w:pP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/>
          <w:b/>
          <w:bCs/>
          <w:color w:val="C00000"/>
          <w:lang w:val="en-US" w:eastAsia="zh-CN"/>
        </w:rPr>
      </w:pP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/>
          <w:b/>
          <w:bCs/>
          <w:color w:val="C00000"/>
          <w:lang w:val="en-US" w:eastAsia="zh-CN"/>
        </w:rPr>
      </w:pP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/>
          <w:b/>
          <w:bCs/>
          <w:color w:val="C00000"/>
          <w:lang w:val="en-US" w:eastAsia="zh-CN"/>
        </w:rPr>
      </w:pP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/>
          <w:b/>
          <w:bCs/>
          <w:color w:val="C00000"/>
          <w:lang w:val="en-US" w:eastAsia="zh-CN"/>
        </w:rPr>
      </w:pP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/>
          <w:b/>
          <w:bCs/>
          <w:color w:val="C00000"/>
          <w:lang w:val="en-US" w:eastAsia="zh-CN"/>
        </w:rPr>
      </w:pP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四、个人中心，考生身份认证通过后即可登录系统，登录成功后进入“</w:t>
      </w:r>
      <w:r>
        <w:rPr>
          <w:rFonts w:hint="eastAsia"/>
          <w:b/>
          <w:bCs/>
          <w:lang w:val="en-US" w:eastAsia="zh-CN"/>
        </w:rPr>
        <w:t>个人中心</w:t>
      </w:r>
      <w:r>
        <w:rPr>
          <w:rFonts w:hint="eastAsia"/>
          <w:b w:val="0"/>
          <w:bCs w:val="0"/>
          <w:lang w:val="en-US" w:eastAsia="zh-CN"/>
        </w:rPr>
        <w:t>”。考生可通过快捷入口和查询中心办理相关业务。</w:t>
      </w:r>
    </w:p>
    <w:p>
      <w:pPr>
        <w:numPr>
          <w:ilvl w:val="0"/>
          <w:numId w:val="0"/>
        </w:numPr>
        <w:bidi w:val="0"/>
        <w:spacing w:line="240" w:lineRule="auto"/>
        <w:jc w:val="center"/>
        <w:rPr>
          <w:rFonts w:hint="eastAsia"/>
          <w:b w:val="0"/>
          <w:bCs w:val="0"/>
          <w:lang w:val="en-US" w:eastAsia="zh-CN"/>
        </w:rPr>
      </w:pPr>
      <w:r>
        <w:drawing>
          <wp:inline distT="0" distB="0" distL="114300" distR="114300">
            <wp:extent cx="6337935" cy="5689600"/>
            <wp:effectExtent l="9525" t="9525" r="15240" b="15875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37935" cy="56896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bidi w:val="0"/>
        <w:jc w:val="both"/>
        <w:rPr>
          <w:rFonts w:hint="default"/>
          <w:b w:val="0"/>
          <w:bCs w:val="0"/>
          <w:lang w:val="en-US" w:eastAsia="zh-CN"/>
        </w:rPr>
      </w:pPr>
    </w:p>
    <w:p>
      <w:pPr>
        <w:numPr>
          <w:ilvl w:val="0"/>
          <w:numId w:val="0"/>
        </w:numPr>
        <w:bidi w:val="0"/>
        <w:jc w:val="both"/>
        <w:rPr>
          <w:rFonts w:hint="default"/>
          <w:b w:val="0"/>
          <w:bCs w:val="0"/>
          <w:lang w:val="en-US" w:eastAsia="zh-CN"/>
        </w:rPr>
      </w:pPr>
    </w:p>
    <w:p>
      <w:pPr>
        <w:numPr>
          <w:ilvl w:val="0"/>
          <w:numId w:val="0"/>
        </w:numPr>
        <w:bidi w:val="0"/>
        <w:jc w:val="both"/>
        <w:rPr>
          <w:rFonts w:hint="default"/>
          <w:b w:val="0"/>
          <w:bCs w:val="0"/>
          <w:lang w:val="en-US" w:eastAsia="zh-CN"/>
        </w:rPr>
      </w:pPr>
    </w:p>
    <w:p>
      <w:pPr>
        <w:numPr>
          <w:ilvl w:val="0"/>
          <w:numId w:val="0"/>
        </w:numPr>
        <w:bidi w:val="0"/>
        <w:jc w:val="both"/>
        <w:rPr>
          <w:rFonts w:hint="default"/>
          <w:b w:val="0"/>
          <w:bCs w:val="0"/>
          <w:lang w:val="en-US" w:eastAsia="zh-CN"/>
        </w:rPr>
      </w:pPr>
    </w:p>
    <w:p>
      <w:pPr>
        <w:numPr>
          <w:ilvl w:val="0"/>
          <w:numId w:val="0"/>
        </w:numPr>
        <w:bidi w:val="0"/>
        <w:jc w:val="both"/>
        <w:rPr>
          <w:rFonts w:hint="default"/>
          <w:b w:val="0"/>
          <w:bCs w:val="0"/>
          <w:lang w:val="en-US" w:eastAsia="zh-CN"/>
        </w:rPr>
      </w:pPr>
    </w:p>
    <w:p>
      <w:pPr>
        <w:numPr>
          <w:ilvl w:val="0"/>
          <w:numId w:val="0"/>
        </w:numPr>
        <w:bidi w:val="0"/>
        <w:jc w:val="both"/>
        <w:rPr>
          <w:rFonts w:hint="default"/>
          <w:b w:val="0"/>
          <w:bCs w:val="0"/>
          <w:lang w:val="en-US" w:eastAsia="zh-CN"/>
        </w:rPr>
      </w:pPr>
    </w:p>
    <w:p>
      <w:pPr>
        <w:numPr>
          <w:ilvl w:val="0"/>
          <w:numId w:val="0"/>
        </w:numPr>
        <w:bidi w:val="0"/>
        <w:jc w:val="both"/>
        <w:rPr>
          <w:rFonts w:hint="default"/>
          <w:b w:val="0"/>
          <w:bCs w:val="0"/>
          <w:lang w:val="en-US" w:eastAsia="zh-CN"/>
        </w:rPr>
      </w:pPr>
    </w:p>
    <w:p>
      <w:pPr>
        <w:numPr>
          <w:ilvl w:val="0"/>
          <w:numId w:val="0"/>
        </w:numPr>
        <w:bidi w:val="0"/>
        <w:jc w:val="both"/>
        <w:rPr>
          <w:rFonts w:hint="default"/>
          <w:b w:val="0"/>
          <w:bCs w:val="0"/>
          <w:lang w:val="en-US" w:eastAsia="zh-CN"/>
        </w:rPr>
      </w:pPr>
    </w:p>
    <w:p>
      <w:pPr>
        <w:numPr>
          <w:ilvl w:val="0"/>
          <w:numId w:val="0"/>
        </w:numPr>
        <w:bidi w:val="0"/>
        <w:jc w:val="both"/>
        <w:rPr>
          <w:rFonts w:hint="default"/>
          <w:b w:val="0"/>
          <w:bCs w:val="0"/>
          <w:lang w:val="en-US" w:eastAsia="zh-CN"/>
        </w:rPr>
      </w:pPr>
    </w:p>
    <w:p>
      <w:pPr>
        <w:numPr>
          <w:ilvl w:val="0"/>
          <w:numId w:val="0"/>
        </w:numPr>
        <w:bidi w:val="0"/>
        <w:jc w:val="both"/>
        <w:rPr>
          <w:rFonts w:hint="default"/>
          <w:b w:val="0"/>
          <w:bCs w:val="0"/>
          <w:lang w:val="en-US" w:eastAsia="zh-CN"/>
        </w:rPr>
      </w:pPr>
    </w:p>
    <w:p>
      <w:pPr>
        <w:numPr>
          <w:ilvl w:val="0"/>
          <w:numId w:val="0"/>
        </w:numPr>
        <w:bidi w:val="0"/>
        <w:jc w:val="both"/>
        <w:rPr>
          <w:rFonts w:hint="default"/>
          <w:b w:val="0"/>
          <w:bCs w:val="0"/>
          <w:lang w:val="en-US" w:eastAsia="zh-CN"/>
        </w:rPr>
      </w:pPr>
    </w:p>
    <w:p>
      <w:pPr>
        <w:numPr>
          <w:ilvl w:val="0"/>
          <w:numId w:val="0"/>
        </w:numPr>
        <w:bidi w:val="0"/>
        <w:jc w:val="both"/>
        <w:rPr>
          <w:rFonts w:hint="default"/>
          <w:b w:val="0"/>
          <w:bCs w:val="0"/>
          <w:lang w:val="en-US" w:eastAsia="zh-CN"/>
        </w:rPr>
      </w:pPr>
    </w:p>
    <w:p>
      <w:pPr>
        <w:numPr>
          <w:ilvl w:val="0"/>
          <w:numId w:val="0"/>
        </w:numPr>
        <w:bidi w:val="0"/>
        <w:jc w:val="both"/>
        <w:rPr>
          <w:rFonts w:hint="default"/>
          <w:b w:val="0"/>
          <w:bCs w:val="0"/>
          <w:lang w:val="en-US" w:eastAsia="zh-CN"/>
        </w:rPr>
      </w:pPr>
    </w:p>
    <w:p>
      <w:pPr>
        <w:numPr>
          <w:ilvl w:val="0"/>
          <w:numId w:val="1"/>
        </w:numPr>
        <w:bidi w:val="0"/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考生选择“实践性环节报名”入口后可以开始本次报名。</w:t>
      </w:r>
    </w:p>
    <w:p>
      <w:pPr>
        <w:numPr>
          <w:ilvl w:val="0"/>
          <w:numId w:val="0"/>
        </w:numPr>
        <w:bidi w:val="0"/>
        <w:ind w:left="420" w:leftChars="0"/>
        <w:jc w:val="both"/>
        <w:rPr>
          <w:rFonts w:hint="default"/>
          <w:b/>
          <w:bCs/>
          <w:color w:val="C00000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具体流程如下：</w:t>
      </w:r>
    </w:p>
    <w:p>
      <w:pPr>
        <w:numPr>
          <w:ilvl w:val="0"/>
          <w:numId w:val="2"/>
        </w:numPr>
        <w:bidi w:val="0"/>
        <w:ind w:firstLine="42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填写邮寄信息、选择主考院校。</w:t>
      </w:r>
    </w:p>
    <w:p>
      <w:pPr>
        <w:numPr>
          <w:ilvl w:val="0"/>
          <w:numId w:val="0"/>
        </w:numPr>
        <w:bidi w:val="0"/>
        <w:ind w:left="437" w:leftChars="208" w:firstLine="0" w:firstLineChars="0"/>
        <w:jc w:val="both"/>
        <w:rPr>
          <w:rFonts w:hint="default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22"/>
          <w:szCs w:val="22"/>
          <w:shd w:val="clear" w:fill="FFFFFF"/>
          <w:lang w:val="en-US" w:eastAsia="zh-CN"/>
        </w:rPr>
        <w:t>提示：</w:t>
      </w:r>
      <w:r>
        <w:rPr>
          <w:rFonts w:ascii="微软雅黑" w:hAnsi="微软雅黑" w:eastAsia="微软雅黑" w:cs="微软雅黑"/>
          <w:i w:val="0"/>
          <w:caps w:val="0"/>
          <w:color w:val="FF0000"/>
          <w:spacing w:val="0"/>
          <w:sz w:val="22"/>
          <w:szCs w:val="22"/>
          <w:shd w:val="clear" w:fill="FFFFFF"/>
        </w:rPr>
        <w:t>为方便主考院校邮寄论文答辩材料，请准确填写本人通讯地址及联系方式。</w:t>
      </w:r>
      <w:r>
        <w:rPr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22"/>
          <w:szCs w:val="22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22"/>
          <w:szCs w:val="22"/>
          <w:shd w:val="clear" w:fill="FFFFFF"/>
        </w:rPr>
        <w:t>收件人若非本人，请准确填写收件人姓名、通讯地址及联系方式。</w:t>
      </w:r>
    </w:p>
    <w:p>
      <w:pPr>
        <w:numPr>
          <w:ilvl w:val="0"/>
          <w:numId w:val="0"/>
        </w:numPr>
        <w:bidi w:val="0"/>
        <w:spacing w:line="240" w:lineRule="auto"/>
        <w:jc w:val="center"/>
        <w:rPr>
          <w:rFonts w:hint="eastAsia" w:eastAsia="微软雅黑"/>
          <w:lang w:eastAsia="zh-CN"/>
        </w:rPr>
      </w:pPr>
      <w:r>
        <w:drawing>
          <wp:inline distT="0" distB="0" distL="114300" distR="114300">
            <wp:extent cx="6831965" cy="4495165"/>
            <wp:effectExtent l="9525" t="9525" r="16510" b="10160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31965" cy="44951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bidi w:val="0"/>
        <w:ind w:left="0" w:leftChars="0" w:firstLine="42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选择专业。</w:t>
      </w:r>
    </w:p>
    <w:p>
      <w:pPr>
        <w:numPr>
          <w:ilvl w:val="0"/>
          <w:numId w:val="0"/>
        </w:numPr>
        <w:bidi w:val="0"/>
        <w:ind w:left="437" w:leftChars="208" w:firstLine="0" w:firstLineChars="0"/>
        <w:jc w:val="both"/>
        <w:rPr>
          <w:rFonts w:hint="default" w:ascii="微软雅黑" w:hAnsi="微软雅黑" w:eastAsia="微软雅黑" w:cs="微软雅黑"/>
          <w:i w:val="0"/>
          <w:caps w:val="0"/>
          <w:color w:val="FF0000"/>
          <w:spacing w:val="0"/>
          <w:sz w:val="22"/>
          <w:szCs w:val="22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22"/>
          <w:szCs w:val="22"/>
          <w:shd w:val="clear" w:fill="FFFFFF"/>
          <w:lang w:val="en-US" w:eastAsia="zh-CN"/>
        </w:rPr>
        <w:t>提示：如不符合实践性环节该专业报名条件，则需携带相关材料到主考院校进行线下确认，若未进行人工确认、报名无效。</w:t>
      </w:r>
    </w:p>
    <w:p>
      <w:pPr>
        <w:numPr>
          <w:ilvl w:val="0"/>
          <w:numId w:val="0"/>
        </w:numPr>
        <w:bidi w:val="0"/>
        <w:spacing w:line="240" w:lineRule="auto"/>
        <w:jc w:val="center"/>
      </w:pPr>
      <w:r>
        <w:drawing>
          <wp:inline distT="0" distB="0" distL="114300" distR="114300">
            <wp:extent cx="6143625" cy="2915920"/>
            <wp:effectExtent l="9525" t="9525" r="19050" b="27305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43625" cy="29159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bidi w:val="0"/>
        <w:jc w:val="both"/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307340</wp:posOffset>
            </wp:positionH>
            <wp:positionV relativeFrom="paragraph">
              <wp:posOffset>52070</wp:posOffset>
            </wp:positionV>
            <wp:extent cx="6178550" cy="3039110"/>
            <wp:effectExtent l="9525" t="9525" r="22225" b="18415"/>
            <wp:wrapTopAndBottom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78550" cy="30391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3、选择报名课程。</w:t>
      </w:r>
    </w:p>
    <w:p>
      <w:pPr>
        <w:numPr>
          <w:ilvl w:val="0"/>
          <w:numId w:val="0"/>
        </w:numPr>
        <w:bidi w:val="0"/>
        <w:spacing w:line="240" w:lineRule="auto"/>
        <w:jc w:val="center"/>
        <w:rPr>
          <w:rFonts w:hint="eastAsia" w:eastAsia="微软雅黑"/>
          <w:lang w:eastAsia="zh-CN"/>
        </w:rPr>
      </w:pPr>
      <w:r>
        <w:drawing>
          <wp:inline distT="0" distB="0" distL="114300" distR="114300">
            <wp:extent cx="6207760" cy="1964690"/>
            <wp:effectExtent l="9525" t="9525" r="12065" b="26035"/>
            <wp:docPr id="1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07760" cy="19646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bidi w:val="0"/>
        <w:ind w:left="42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4、确认报名信息，确认无误后点击提交。</w:t>
      </w:r>
    </w:p>
    <w:p>
      <w:pPr>
        <w:numPr>
          <w:ilvl w:val="0"/>
          <w:numId w:val="0"/>
        </w:numPr>
        <w:bidi w:val="0"/>
        <w:ind w:left="437" w:leftChars="208" w:firstLine="0" w:firstLineChars="0"/>
        <w:jc w:val="both"/>
        <w:rPr>
          <w:rFonts w:hint="default" w:ascii="微软雅黑" w:hAnsi="微软雅黑" w:eastAsia="微软雅黑" w:cs="微软雅黑"/>
          <w:i w:val="0"/>
          <w:caps w:val="0"/>
          <w:color w:val="FF0000"/>
          <w:spacing w:val="0"/>
          <w:sz w:val="22"/>
          <w:szCs w:val="22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22"/>
          <w:szCs w:val="22"/>
          <w:shd w:val="clear" w:fill="FFFFFF"/>
          <w:lang w:val="en-US" w:eastAsia="zh-CN"/>
        </w:rPr>
        <w:t>提示：</w:t>
      </w:r>
      <w:r>
        <w:rPr>
          <w:rFonts w:ascii="微软雅黑" w:hAnsi="微软雅黑" w:eastAsia="微软雅黑" w:cs="微软雅黑"/>
          <w:i w:val="0"/>
          <w:caps w:val="0"/>
          <w:color w:val="FF0000"/>
          <w:spacing w:val="0"/>
          <w:sz w:val="22"/>
          <w:szCs w:val="22"/>
          <w:shd w:val="clear" w:fill="FFFFFF"/>
        </w:rPr>
        <w:t>考生须认真核对报名课程，点击提交后将不允许再次增加、修改和删除课程，如需调整请点击上一步。</w:t>
      </w:r>
    </w:p>
    <w:p>
      <w:pPr>
        <w:numPr>
          <w:ilvl w:val="0"/>
          <w:numId w:val="0"/>
        </w:numPr>
        <w:bidi w:val="0"/>
        <w:ind w:left="420" w:leftChars="0" w:firstLine="0" w:firstLineChars="0"/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bidi w:val="0"/>
        <w:spacing w:line="240" w:lineRule="auto"/>
        <w:jc w:val="center"/>
      </w:pPr>
      <w:r>
        <w:drawing>
          <wp:inline distT="0" distB="0" distL="114300" distR="114300">
            <wp:extent cx="6231255" cy="2945130"/>
            <wp:effectExtent l="9525" t="9525" r="26670" b="17145"/>
            <wp:docPr id="1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231255" cy="29451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tabs>
          <w:tab w:val="left" w:pos="226"/>
        </w:tabs>
        <w:bidi w:val="0"/>
        <w:ind w:left="0" w:leftChars="0" w:firstLine="42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提交后可查看报名信息详情。</w:t>
      </w:r>
    </w:p>
    <w:p>
      <w:pPr>
        <w:numPr>
          <w:ilvl w:val="0"/>
          <w:numId w:val="0"/>
        </w:numPr>
        <w:tabs>
          <w:tab w:val="left" w:pos="226"/>
        </w:tabs>
        <w:bidi w:val="0"/>
        <w:ind w:left="420" w:leftChars="0"/>
        <w:jc w:val="both"/>
        <w:rPr>
          <w:rFonts w:hint="default"/>
          <w:lang w:val="en-US" w:eastAsia="zh-CN"/>
        </w:rPr>
      </w:pPr>
      <w:r>
        <w:rPr>
          <w:rFonts w:ascii="微软雅黑" w:hAnsi="微软雅黑" w:eastAsia="微软雅黑" w:cs="微软雅黑"/>
          <w:i w:val="0"/>
          <w:caps w:val="0"/>
          <w:color w:val="FF0000"/>
          <w:spacing w:val="0"/>
          <w:sz w:val="22"/>
          <w:szCs w:val="22"/>
          <w:shd w:val="clear" w:fill="FFFFFF"/>
        </w:rPr>
        <w:t>提示：</w:t>
      </w:r>
      <w:r>
        <w:rPr>
          <w:rFonts w:hint="eastAsia" w:ascii="微软雅黑" w:hAnsi="微软雅黑" w:cs="微软雅黑"/>
          <w:i w:val="0"/>
          <w:caps w:val="0"/>
          <w:color w:val="FF0000"/>
          <w:spacing w:val="0"/>
          <w:sz w:val="22"/>
          <w:szCs w:val="22"/>
          <w:shd w:val="clear" w:fill="FFFFFF"/>
          <w:lang w:val="en-US" w:eastAsia="zh-CN"/>
        </w:rPr>
        <w:t>如</w:t>
      </w:r>
      <w:r>
        <w:rPr>
          <w:rFonts w:ascii="微软雅黑" w:hAnsi="微软雅黑" w:eastAsia="微软雅黑" w:cs="微软雅黑"/>
          <w:i w:val="0"/>
          <w:caps w:val="0"/>
          <w:color w:val="FF0000"/>
          <w:spacing w:val="0"/>
          <w:sz w:val="22"/>
          <w:szCs w:val="22"/>
          <w:shd w:val="clear" w:fill="FFFFFF"/>
        </w:rPr>
        <w:t>不符合实践性环节报名条件，</w:t>
      </w:r>
      <w:r>
        <w:rPr>
          <w:rFonts w:hint="eastAsia" w:ascii="微软雅黑" w:hAnsi="微软雅黑" w:cs="微软雅黑"/>
          <w:i w:val="0"/>
          <w:caps w:val="0"/>
          <w:color w:val="FF0000"/>
          <w:spacing w:val="0"/>
          <w:sz w:val="22"/>
          <w:szCs w:val="22"/>
          <w:shd w:val="clear" w:fill="FFFFFF"/>
          <w:lang w:val="en-US" w:eastAsia="zh-CN"/>
        </w:rPr>
        <w:t>需</w:t>
      </w:r>
      <w:r>
        <w:rPr>
          <w:rFonts w:ascii="微软雅黑" w:hAnsi="微软雅黑" w:eastAsia="微软雅黑" w:cs="微软雅黑"/>
          <w:i w:val="0"/>
          <w:caps w:val="0"/>
          <w:color w:val="FF0000"/>
          <w:spacing w:val="0"/>
          <w:sz w:val="22"/>
          <w:szCs w:val="22"/>
          <w:shd w:val="clear" w:fill="FFFFFF"/>
        </w:rPr>
        <w:t>携带相关材料到主考院校进行线下确认，所需材料详见《山西省高等教育自学考试2021年实践课考核及毕业答辩时间安排》，若未进行人工确认，报名无效。</w:t>
      </w:r>
    </w:p>
    <w:p>
      <w:pPr>
        <w:numPr>
          <w:ilvl w:val="0"/>
          <w:numId w:val="0"/>
        </w:numPr>
        <w:bidi w:val="0"/>
        <w:spacing w:line="240" w:lineRule="auto"/>
        <w:jc w:val="center"/>
      </w:pPr>
      <w:r>
        <w:drawing>
          <wp:inline distT="0" distB="0" distL="114300" distR="114300">
            <wp:extent cx="6179185" cy="3080385"/>
            <wp:effectExtent l="9525" t="9525" r="21590" b="15240"/>
            <wp:docPr id="1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79185" cy="308038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bidi w:val="0"/>
        <w:spacing w:line="240" w:lineRule="auto"/>
        <w:ind w:firstLine="210" w:firstLineChars="100"/>
        <w:jc w:val="left"/>
        <w:rPr>
          <w:rFonts w:hint="default" w:eastAsia="微软雅黑"/>
          <w:lang w:val="en-US" w:eastAsia="zh-CN"/>
        </w:rPr>
      </w:pPr>
      <w:r>
        <w:rPr>
          <w:rFonts w:hint="eastAsia"/>
          <w:lang w:val="en-US" w:eastAsia="zh-CN"/>
        </w:rPr>
        <w:t>6、报名成功后，请考生按照所报考院校的提示信息，登录院校网站或扫描进群，关注院校有关实践性环节</w:t>
      </w:r>
      <w:bookmarkStart w:id="0" w:name="_GoBack"/>
      <w:bookmarkEnd w:id="0"/>
      <w:r>
        <w:rPr>
          <w:rFonts w:hint="eastAsia"/>
          <w:lang w:val="en-US" w:eastAsia="zh-CN"/>
        </w:rPr>
        <w:t>的缴费、考核等后续安排。</w:t>
      </w:r>
    </w:p>
    <w:sectPr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89306"/>
    <w:multiLevelType w:val="singleLevel"/>
    <w:tmpl w:val="0B189306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3121224"/>
    <w:multiLevelType w:val="singleLevel"/>
    <w:tmpl w:val="4312122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46B33FB"/>
    <w:multiLevelType w:val="singleLevel"/>
    <w:tmpl w:val="546B33FB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9165F5"/>
    <w:rsid w:val="01E3698C"/>
    <w:rsid w:val="03305547"/>
    <w:rsid w:val="06821300"/>
    <w:rsid w:val="070C7990"/>
    <w:rsid w:val="082F4F69"/>
    <w:rsid w:val="0C3A1651"/>
    <w:rsid w:val="0DF82BE7"/>
    <w:rsid w:val="0E2C22DB"/>
    <w:rsid w:val="1AE46C92"/>
    <w:rsid w:val="1B671E41"/>
    <w:rsid w:val="26290BF3"/>
    <w:rsid w:val="27C511FE"/>
    <w:rsid w:val="28F310D7"/>
    <w:rsid w:val="296E3458"/>
    <w:rsid w:val="2A5C61C9"/>
    <w:rsid w:val="2AD64196"/>
    <w:rsid w:val="2E05303D"/>
    <w:rsid w:val="2F4C03AE"/>
    <w:rsid w:val="2FD601D4"/>
    <w:rsid w:val="338B0702"/>
    <w:rsid w:val="363609F7"/>
    <w:rsid w:val="38AE5A61"/>
    <w:rsid w:val="4422667B"/>
    <w:rsid w:val="45DD6796"/>
    <w:rsid w:val="4841433A"/>
    <w:rsid w:val="48B84903"/>
    <w:rsid w:val="4B12597D"/>
    <w:rsid w:val="50C40E62"/>
    <w:rsid w:val="514E5354"/>
    <w:rsid w:val="52EE5289"/>
    <w:rsid w:val="56C25223"/>
    <w:rsid w:val="583546D7"/>
    <w:rsid w:val="59004297"/>
    <w:rsid w:val="596316A2"/>
    <w:rsid w:val="5B4617DF"/>
    <w:rsid w:val="5FE12DB6"/>
    <w:rsid w:val="63E0430F"/>
    <w:rsid w:val="6E0C3021"/>
    <w:rsid w:val="716E7DB7"/>
    <w:rsid w:val="72046187"/>
    <w:rsid w:val="78A14CC0"/>
    <w:rsid w:val="7EE92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jc w:val="both"/>
    </w:pPr>
    <w:rPr>
      <w:rFonts w:eastAsia="微软雅黑" w:asciiTheme="minorAscii" w:hAnsiTheme="minorAsci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2020-02-18T05:56:00Z</dcterms:created>
  <dc:creator>lenovo</dc:creator>
  <cp:lastModifiedBy>香樟树</cp:lastModifiedBy>
  <dcterms:modified xsi:type="dcterms:W3CDTF">2020-11-18T08:21:00Z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