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inorEastAsia" w:hAnsiTheme="minorEastAsia"/>
          <w:b/>
          <w:sz w:val="24"/>
          <w:szCs w:val="24"/>
        </w:rPr>
      </w:pPr>
      <w:r>
        <w:rPr>
          <w:rFonts w:hint="eastAsia" w:asciiTheme="minorEastAsia" w:hAnsiTheme="minorEastAsia"/>
          <w:b/>
          <w:sz w:val="24"/>
          <w:szCs w:val="24"/>
        </w:rPr>
        <w:t>2021年乡村全科助理医师《全科医疗</w:t>
      </w:r>
      <w:bookmarkStart w:id="0" w:name="_GoBack"/>
      <w:bookmarkEnd w:id="0"/>
      <w:r>
        <w:rPr>
          <w:rFonts w:hint="eastAsia" w:asciiTheme="minorEastAsia" w:hAnsiTheme="minorEastAsia"/>
          <w:b/>
          <w:sz w:val="24"/>
          <w:szCs w:val="24"/>
        </w:rPr>
        <w:t>》</w:t>
      </w:r>
    </w:p>
    <w:tbl>
      <w:tblPr>
        <w:tblStyle w:val="4"/>
        <w:tblW w:w="8740" w:type="dxa"/>
        <w:tblInd w:w="93" w:type="dxa"/>
        <w:tblLayout w:type="autofit"/>
        <w:tblCellMar>
          <w:top w:w="0" w:type="dxa"/>
          <w:left w:w="108" w:type="dxa"/>
          <w:bottom w:w="0" w:type="dxa"/>
          <w:right w:w="108" w:type="dxa"/>
        </w:tblCellMar>
      </w:tblPr>
      <w:tblGrid>
        <w:gridCol w:w="1440"/>
        <w:gridCol w:w="3340"/>
        <w:gridCol w:w="3960"/>
      </w:tblGrid>
      <w:tr>
        <w:tblPrEx>
          <w:tblCellMar>
            <w:top w:w="0" w:type="dxa"/>
            <w:left w:w="108" w:type="dxa"/>
            <w:bottom w:w="0" w:type="dxa"/>
            <w:right w:w="108" w:type="dxa"/>
          </w:tblCellMar>
        </w:tblPrEx>
        <w:trPr>
          <w:trHeight w:val="270" w:hRule="atLeast"/>
        </w:trPr>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　</w:t>
            </w:r>
          </w:p>
        </w:tc>
        <w:tc>
          <w:tcPr>
            <w:tcW w:w="334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2020年乡村全科助理医师</w:t>
            </w:r>
          </w:p>
        </w:tc>
        <w:tc>
          <w:tcPr>
            <w:tcW w:w="396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2021年乡村全科助理医师</w:t>
            </w:r>
          </w:p>
        </w:tc>
      </w:tr>
      <w:tr>
        <w:tblPrEx>
          <w:tblCellMar>
            <w:top w:w="0" w:type="dxa"/>
            <w:left w:w="108" w:type="dxa"/>
            <w:bottom w:w="0" w:type="dxa"/>
            <w:right w:w="108" w:type="dxa"/>
          </w:tblCellMar>
        </w:tblPrEx>
        <w:trPr>
          <w:trHeight w:val="54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166</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调整“乃至家族某些遗传危险因素和疾病的持续性管理问题”的语序</w:t>
            </w:r>
          </w:p>
        </w:tc>
      </w:tr>
      <w:tr>
        <w:tblPrEx>
          <w:tblCellMar>
            <w:top w:w="0" w:type="dxa"/>
            <w:left w:w="108" w:type="dxa"/>
            <w:bottom w:w="0" w:type="dxa"/>
            <w:right w:w="108" w:type="dxa"/>
          </w:tblCellMar>
        </w:tblPrEx>
        <w:trPr>
          <w:trHeight w:val="81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173</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（3）“对于签约者</w:t>
            </w:r>
            <w:r>
              <w:rPr>
                <w:rFonts w:cs="宋体" w:asciiTheme="minorEastAsia" w:hAnsiTheme="minorEastAsia"/>
                <w:color w:val="000000"/>
                <w:kern w:val="0"/>
                <w:sz w:val="24"/>
                <w:szCs w:val="24"/>
              </w:rPr>
              <w:t>……签约的益处</w:t>
            </w:r>
            <w:r>
              <w:rPr>
                <w:rFonts w:hint="eastAsia" w:cs="宋体" w:asciiTheme="minorEastAsia" w:hAnsiTheme="minorEastAsia"/>
                <w:color w:val="000000"/>
                <w:kern w:val="0"/>
                <w:sz w:val="24"/>
                <w:szCs w:val="24"/>
              </w:rPr>
              <w:t>”</w:t>
            </w:r>
          </w:p>
        </w:tc>
        <w:tc>
          <w:tcPr>
            <w:tcW w:w="396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修改为“签约可以使家庭医生团队对其</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签约的益处”</w:t>
            </w:r>
          </w:p>
        </w:tc>
      </w:tr>
      <w:tr>
        <w:tblPrEx>
          <w:tblCellMar>
            <w:top w:w="0" w:type="dxa"/>
            <w:left w:w="108" w:type="dxa"/>
            <w:bottom w:w="0" w:type="dxa"/>
            <w:right w:w="108" w:type="dxa"/>
          </w:tblCellMar>
        </w:tblPrEx>
        <w:trPr>
          <w:trHeight w:val="54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179</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删除</w:t>
            </w:r>
            <w:r>
              <w:rPr>
                <w:rFonts w:hint="eastAsia" w:cs="宋体" w:asciiTheme="minorEastAsia" w:hAnsiTheme="minorEastAsia"/>
                <w:color w:val="000000"/>
                <w:kern w:val="0"/>
                <w:sz w:val="24"/>
                <w:szCs w:val="24"/>
              </w:rPr>
              <w:t>“遗传”</w:t>
            </w:r>
          </w:p>
        </w:tc>
      </w:tr>
      <w:tr>
        <w:tblPrEx>
          <w:tblCellMar>
            <w:top w:w="0" w:type="dxa"/>
            <w:left w:w="108" w:type="dxa"/>
            <w:bottom w:w="0" w:type="dxa"/>
            <w:right w:w="108" w:type="dxa"/>
          </w:tblCellMar>
        </w:tblPrEx>
        <w:trPr>
          <w:trHeight w:val="54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181</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①“伴随症状”</w:t>
            </w:r>
          </w:p>
        </w:tc>
        <w:tc>
          <w:tcPr>
            <w:tcW w:w="396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修改为</w:t>
            </w:r>
            <w:r>
              <w:rPr>
                <w:rFonts w:hint="eastAsia" w:cs="宋体" w:asciiTheme="minorEastAsia" w:hAnsiTheme="minorEastAsia"/>
                <w:color w:val="000000"/>
                <w:kern w:val="0"/>
                <w:sz w:val="24"/>
                <w:szCs w:val="24"/>
              </w:rPr>
              <w:t>“相关鉴别问诊”</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②新增“诊疗经过问诊、患病以来一般情况问诊”</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③新增“食物”</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④新增“周围类似疾病流行及接触情况”</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⑤删除“诊断与鉴别”</w:t>
            </w:r>
          </w:p>
        </w:tc>
      </w:tr>
      <w:tr>
        <w:tblPrEx>
          <w:tblCellMar>
            <w:top w:w="0" w:type="dxa"/>
            <w:left w:w="108" w:type="dxa"/>
            <w:bottom w:w="0" w:type="dxa"/>
            <w:right w:w="108" w:type="dxa"/>
          </w:tblCellMar>
        </w:tblPrEx>
        <w:trPr>
          <w:trHeight w:val="54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185</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①“常见于戴隐形眼镜的病人”</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②眼球充血</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③虹膜炎</w:t>
            </w:r>
          </w:p>
        </w:tc>
        <w:tc>
          <w:tcPr>
            <w:tcW w:w="396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①修改为“最常见的局部因素是角膜外伤或角膜异物剔除术后。配戴角膜接触镜和慢性泪囊炎也是重要原因”</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②眼红</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③前葡萄膜炎</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④新增“眼痛、视力下降”</w:t>
            </w:r>
          </w:p>
        </w:tc>
      </w:tr>
      <w:tr>
        <w:tblPrEx>
          <w:tblCellMar>
            <w:top w:w="0" w:type="dxa"/>
            <w:left w:w="108" w:type="dxa"/>
            <w:bottom w:w="0" w:type="dxa"/>
            <w:right w:w="108" w:type="dxa"/>
          </w:tblCellMar>
        </w:tblPrEx>
        <w:trPr>
          <w:trHeight w:val="54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189</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新增</w:t>
            </w:r>
            <w:r>
              <w:rPr>
                <w:rFonts w:hint="eastAsia" w:cs="宋体" w:asciiTheme="minorEastAsia" w:hAnsiTheme="minorEastAsia"/>
                <w:color w:val="000000"/>
                <w:kern w:val="0"/>
                <w:sz w:val="24"/>
                <w:szCs w:val="24"/>
              </w:rPr>
              <w:t>“溃疡灼痛明显”</w:t>
            </w:r>
          </w:p>
        </w:tc>
      </w:tr>
      <w:tr>
        <w:tblPrEx>
          <w:tblCellMar>
            <w:top w:w="0" w:type="dxa"/>
            <w:left w:w="108" w:type="dxa"/>
            <w:bottom w:w="0" w:type="dxa"/>
            <w:right w:w="108" w:type="dxa"/>
          </w:tblCellMar>
        </w:tblPrEx>
        <w:trPr>
          <w:trHeight w:val="108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190</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①“轻型口疮、重型口疮”</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②“毛囊炎”</w:t>
            </w:r>
          </w:p>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修改为</w:t>
            </w:r>
            <w:r>
              <w:rPr>
                <w:rFonts w:hint="eastAsia" w:cs="宋体" w:asciiTheme="minorEastAsia" w:hAnsiTheme="minorEastAsia"/>
                <w:color w:val="000000"/>
                <w:kern w:val="0"/>
                <w:sz w:val="24"/>
                <w:szCs w:val="24"/>
              </w:rPr>
              <w:t>“轻型复发性阿弗他溃疡、重型复发性阿弗他溃疡”</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②修改为“痤疮性皮疹”</w:t>
            </w:r>
          </w:p>
        </w:tc>
      </w:tr>
      <w:tr>
        <w:tblPrEx>
          <w:tblCellMar>
            <w:top w:w="0" w:type="dxa"/>
            <w:left w:w="108" w:type="dxa"/>
            <w:bottom w:w="0" w:type="dxa"/>
            <w:right w:w="108" w:type="dxa"/>
          </w:tblCellMar>
        </w:tblPrEx>
        <w:trPr>
          <w:trHeight w:val="54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191</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①“脓肿形成后”</w:t>
            </w:r>
          </w:p>
        </w:tc>
        <w:tc>
          <w:tcPr>
            <w:tcW w:w="396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修改为</w:t>
            </w:r>
            <w:r>
              <w:rPr>
                <w:rFonts w:hint="eastAsia" w:cs="宋体" w:asciiTheme="minorEastAsia" w:hAnsiTheme="minorEastAsia"/>
                <w:color w:val="000000"/>
                <w:kern w:val="0"/>
                <w:sz w:val="24"/>
                <w:szCs w:val="24"/>
              </w:rPr>
              <w:t>“脓肿后期”</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②新增“或钝痛”</w:t>
            </w:r>
          </w:p>
        </w:tc>
      </w:tr>
      <w:tr>
        <w:tblPrEx>
          <w:tblCellMar>
            <w:top w:w="0" w:type="dxa"/>
            <w:left w:w="108" w:type="dxa"/>
            <w:bottom w:w="0" w:type="dxa"/>
            <w:right w:w="108" w:type="dxa"/>
          </w:tblCellMar>
        </w:tblPrEx>
        <w:trPr>
          <w:trHeight w:val="81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192</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①新增“诱因”</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②删除“咽痛时</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吞咽困难”</w:t>
            </w:r>
          </w:p>
        </w:tc>
      </w:tr>
      <w:tr>
        <w:tblPrEx>
          <w:tblCellMar>
            <w:top w:w="0" w:type="dxa"/>
            <w:left w:w="108" w:type="dxa"/>
            <w:bottom w:w="0" w:type="dxa"/>
            <w:right w:w="108" w:type="dxa"/>
          </w:tblCellMar>
        </w:tblPrEx>
        <w:trPr>
          <w:trHeight w:val="54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194</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新增</w:t>
            </w:r>
            <w:r>
              <w:rPr>
                <w:rFonts w:hint="eastAsia" w:cs="宋体" w:asciiTheme="minorEastAsia" w:hAnsiTheme="minorEastAsia"/>
                <w:color w:val="000000"/>
                <w:kern w:val="0"/>
                <w:sz w:val="24"/>
                <w:szCs w:val="24"/>
              </w:rPr>
              <w:t>“胃灼热”</w:t>
            </w:r>
          </w:p>
        </w:tc>
      </w:tr>
      <w:tr>
        <w:tblPrEx>
          <w:tblCellMar>
            <w:top w:w="0" w:type="dxa"/>
            <w:left w:w="108" w:type="dxa"/>
            <w:bottom w:w="0" w:type="dxa"/>
            <w:right w:w="108" w:type="dxa"/>
          </w:tblCellMar>
        </w:tblPrEx>
        <w:trPr>
          <w:trHeight w:val="54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195</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vAlign w:val="center"/>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新增</w:t>
            </w:r>
            <w:r>
              <w:rPr>
                <w:rFonts w:hint="eastAsia" w:cs="宋体" w:asciiTheme="minorEastAsia" w:hAnsiTheme="minorEastAsia"/>
                <w:color w:val="000000"/>
                <w:kern w:val="0"/>
                <w:sz w:val="24"/>
                <w:szCs w:val="24"/>
              </w:rPr>
              <w:t>“针对咳嗽与咳嗽本身的问诊”</w:t>
            </w:r>
          </w:p>
        </w:tc>
      </w:tr>
      <w:tr>
        <w:tblPrEx>
          <w:tblCellMar>
            <w:top w:w="0" w:type="dxa"/>
            <w:left w:w="108" w:type="dxa"/>
            <w:bottom w:w="0" w:type="dxa"/>
            <w:right w:w="108" w:type="dxa"/>
          </w:tblCellMar>
        </w:tblPrEx>
        <w:trPr>
          <w:trHeight w:val="27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196</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新增</w:t>
            </w:r>
            <w:r>
              <w:rPr>
                <w:rFonts w:hint="eastAsia" w:cs="宋体" w:asciiTheme="minorEastAsia" w:hAnsiTheme="minorEastAsia"/>
                <w:color w:val="000000"/>
                <w:kern w:val="0"/>
                <w:sz w:val="24"/>
                <w:szCs w:val="24"/>
              </w:rPr>
              <w:t>“诊疗经过问诊、患病以来的一般情况问诊”</w:t>
            </w:r>
          </w:p>
        </w:tc>
      </w:tr>
      <w:tr>
        <w:tblPrEx>
          <w:tblCellMar>
            <w:top w:w="0" w:type="dxa"/>
            <w:left w:w="108" w:type="dxa"/>
            <w:bottom w:w="0" w:type="dxa"/>
            <w:right w:w="108" w:type="dxa"/>
          </w:tblCellMar>
        </w:tblPrEx>
        <w:trPr>
          <w:trHeight w:val="27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197</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大于100ml</w:t>
            </w:r>
          </w:p>
        </w:tc>
        <w:tc>
          <w:tcPr>
            <w:tcW w:w="396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FF0000"/>
                <w:kern w:val="0"/>
                <w:sz w:val="24"/>
                <w:szCs w:val="24"/>
              </w:rPr>
            </w:pPr>
            <w:r>
              <w:rPr>
                <w:rFonts w:cs="宋体" w:asciiTheme="minorEastAsia" w:hAnsiTheme="minorEastAsia"/>
                <w:color w:val="FF0000"/>
                <w:kern w:val="0"/>
                <w:sz w:val="24"/>
                <w:szCs w:val="24"/>
              </w:rPr>
              <w:t>修改为</w:t>
            </w:r>
            <w:r>
              <w:rPr>
                <w:rFonts w:hint="eastAsia" w:cs="宋体" w:asciiTheme="minorEastAsia" w:hAnsiTheme="minorEastAsia"/>
                <w:color w:val="FF0000"/>
                <w:kern w:val="0"/>
                <w:sz w:val="24"/>
                <w:szCs w:val="24"/>
              </w:rPr>
              <w:t>“100～500ml”</w:t>
            </w:r>
          </w:p>
        </w:tc>
      </w:tr>
      <w:tr>
        <w:tblPrEx>
          <w:tblCellMar>
            <w:top w:w="0" w:type="dxa"/>
            <w:left w:w="108" w:type="dxa"/>
            <w:bottom w:w="0" w:type="dxa"/>
            <w:right w:w="108" w:type="dxa"/>
          </w:tblCellMar>
        </w:tblPrEx>
        <w:trPr>
          <w:trHeight w:val="27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198</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①新增“诊疗经过问诊、患病以来一般情况问诊”</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②删除“对于反复</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治疗效果”</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③删除“既往家族凝血系统疾病史”</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④删除“下肢静脉曲张（肺栓塞可能）”</w:t>
            </w:r>
          </w:p>
        </w:tc>
      </w:tr>
      <w:tr>
        <w:tblPrEx>
          <w:tblCellMar>
            <w:top w:w="0" w:type="dxa"/>
            <w:left w:w="108" w:type="dxa"/>
            <w:bottom w:w="0" w:type="dxa"/>
            <w:right w:w="108" w:type="dxa"/>
          </w:tblCellMar>
        </w:tblPrEx>
        <w:trPr>
          <w:trHeight w:val="27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199</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新增</w:t>
            </w:r>
            <w:r>
              <w:rPr>
                <w:rFonts w:hint="eastAsia" w:cs="宋体" w:asciiTheme="minorEastAsia" w:hAnsiTheme="minorEastAsia"/>
                <w:color w:val="000000"/>
                <w:kern w:val="0"/>
                <w:sz w:val="24"/>
                <w:szCs w:val="24"/>
              </w:rPr>
              <w:t>“酌情应用润肠药物”</w:t>
            </w:r>
          </w:p>
        </w:tc>
      </w:tr>
      <w:tr>
        <w:tblPrEx>
          <w:tblCellMar>
            <w:top w:w="0" w:type="dxa"/>
            <w:left w:w="108" w:type="dxa"/>
            <w:bottom w:w="0" w:type="dxa"/>
            <w:right w:w="108" w:type="dxa"/>
          </w:tblCellMar>
        </w:tblPrEx>
        <w:trPr>
          <w:trHeight w:val="27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righ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200</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新增</w:t>
            </w:r>
            <w:r>
              <w:rPr>
                <w:rFonts w:hint="eastAsia" w:cs="宋体" w:asciiTheme="minorEastAsia" w:hAnsiTheme="minorEastAsia"/>
                <w:color w:val="000000"/>
                <w:kern w:val="0"/>
                <w:sz w:val="24"/>
                <w:szCs w:val="24"/>
              </w:rPr>
              <w:t>“及意识障碍”</w:t>
            </w:r>
          </w:p>
        </w:tc>
      </w:tr>
      <w:tr>
        <w:tblPrEx>
          <w:tblCellMar>
            <w:top w:w="0" w:type="dxa"/>
            <w:left w:w="108" w:type="dxa"/>
            <w:bottom w:w="0" w:type="dxa"/>
            <w:right w:w="108" w:type="dxa"/>
          </w:tblCellMar>
        </w:tblPrEx>
        <w:trPr>
          <w:trHeight w:val="27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②“诊疗经过问诊”变动</w:t>
            </w:r>
          </w:p>
        </w:tc>
      </w:tr>
      <w:tr>
        <w:tblPrEx>
          <w:tblCellMar>
            <w:top w:w="0" w:type="dxa"/>
            <w:left w:w="108" w:type="dxa"/>
            <w:bottom w:w="0" w:type="dxa"/>
            <w:right w:w="108" w:type="dxa"/>
          </w:tblCellMar>
        </w:tblPrEx>
        <w:trPr>
          <w:trHeight w:val="27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202</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④胃灼热</w:t>
            </w:r>
          </w:p>
        </w:tc>
        <w:tc>
          <w:tcPr>
            <w:tcW w:w="396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①新增“或心音遥远”</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②新增“CT及MRI对诊断意义重大”</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③新增“D-聚体、动脉血气、CT等检查对诊断有重要价值”</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④修改为“烧心”</w:t>
            </w:r>
          </w:p>
        </w:tc>
      </w:tr>
      <w:tr>
        <w:tblPrEx>
          <w:tblCellMar>
            <w:top w:w="0" w:type="dxa"/>
            <w:left w:w="108" w:type="dxa"/>
            <w:bottom w:w="0" w:type="dxa"/>
            <w:right w:w="108" w:type="dxa"/>
          </w:tblCellMar>
        </w:tblPrEx>
        <w:trPr>
          <w:trHeight w:val="27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205</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p>
        </w:tc>
        <w:tc>
          <w:tcPr>
            <w:tcW w:w="396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新增</w:t>
            </w:r>
            <w:r>
              <w:rPr>
                <w:rFonts w:hint="eastAsia" w:cs="宋体" w:asciiTheme="minorEastAsia" w:hAnsiTheme="minorEastAsia"/>
                <w:color w:val="000000"/>
                <w:kern w:val="0"/>
                <w:sz w:val="24"/>
                <w:szCs w:val="24"/>
              </w:rPr>
              <w:t>“应协助或”</w:t>
            </w:r>
          </w:p>
        </w:tc>
      </w:tr>
      <w:tr>
        <w:tblPrEx>
          <w:tblCellMar>
            <w:top w:w="0" w:type="dxa"/>
            <w:left w:w="108" w:type="dxa"/>
            <w:bottom w:w="0" w:type="dxa"/>
            <w:right w:w="108" w:type="dxa"/>
          </w:tblCellMar>
        </w:tblPrEx>
        <w:trPr>
          <w:trHeight w:val="270" w:hRule="atLeast"/>
        </w:trPr>
        <w:tc>
          <w:tcPr>
            <w:tcW w:w="1440" w:type="dxa"/>
            <w:tcBorders>
              <w:top w:val="nil"/>
              <w:left w:val="single" w:color="auto" w:sz="4" w:space="0"/>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206</w:t>
            </w:r>
          </w:p>
        </w:tc>
        <w:tc>
          <w:tcPr>
            <w:tcW w:w="334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②“插入鼻胃管”</w:t>
            </w:r>
          </w:p>
        </w:tc>
        <w:tc>
          <w:tcPr>
            <w:tcW w:w="3960" w:type="dxa"/>
            <w:tcBorders>
              <w:top w:val="nil"/>
              <w:left w:val="nil"/>
              <w:bottom w:val="single" w:color="auto" w:sz="4" w:space="0"/>
              <w:right w:val="single" w:color="auto" w:sz="4" w:space="0"/>
            </w:tcBorders>
            <w:shd w:val="clear" w:color="auto" w:fill="auto"/>
            <w:noWrap/>
            <w:vAlign w:val="center"/>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新增</w:t>
            </w:r>
            <w:r>
              <w:rPr>
                <w:rFonts w:hint="eastAsia" w:cs="宋体" w:asciiTheme="minorEastAsia" w:hAnsiTheme="minorEastAsia"/>
                <w:color w:val="000000"/>
                <w:kern w:val="0"/>
                <w:sz w:val="24"/>
                <w:szCs w:val="24"/>
              </w:rPr>
              <w:t>“尤其是胃、十二指肠病变伴出血”</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②修改为“应进行气道保护”</w:t>
            </w:r>
          </w:p>
        </w:tc>
      </w:tr>
    </w:tbl>
    <w:tbl>
      <w:tblPr>
        <w:tblStyle w:val="5"/>
        <w:tblW w:w="8789" w:type="dxa"/>
        <w:tblInd w:w="10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408"/>
        <w:gridCol w:w="3359"/>
        <w:gridCol w:w="40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209</w:t>
            </w:r>
          </w:p>
        </w:tc>
        <w:tc>
          <w:tcPr>
            <w:tcW w:w="3359" w:type="dxa"/>
          </w:tcPr>
          <w:p>
            <w:pPr>
              <w:widowControl/>
              <w:spacing w:line="360" w:lineRule="auto"/>
              <w:jc w:val="left"/>
              <w:rPr>
                <w:rFonts w:cs="宋体" w:asciiTheme="minorEastAsia" w:hAnsiTheme="minorEastAsia"/>
                <w:color w:val="000000"/>
                <w:kern w:val="0"/>
                <w:sz w:val="24"/>
                <w:szCs w:val="24"/>
              </w:rPr>
            </w:pPr>
          </w:p>
        </w:tc>
        <w:tc>
          <w:tcPr>
            <w:tcW w:w="4022" w:type="dxa"/>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删除</w:t>
            </w:r>
            <w:r>
              <w:rPr>
                <w:rFonts w:hint="eastAsia" w:cs="宋体" w:asciiTheme="minorEastAsia" w:hAnsiTheme="minorEastAsia"/>
                <w:color w:val="000000"/>
                <w:kern w:val="0"/>
                <w:sz w:val="24"/>
                <w:szCs w:val="24"/>
              </w:rPr>
              <w:t>“应根据梗阻的原因和病人情况”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210</w:t>
            </w:r>
          </w:p>
        </w:tc>
        <w:tc>
          <w:tcPr>
            <w:tcW w:w="3359"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①“膈胸膜炎”</w:t>
            </w:r>
          </w:p>
        </w:tc>
        <w:tc>
          <w:tcPr>
            <w:tcW w:w="4022"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修改为</w:t>
            </w:r>
            <w:r>
              <w:rPr>
                <w:rFonts w:hint="eastAsia" w:cs="宋体" w:asciiTheme="minorEastAsia" w:hAnsiTheme="minorEastAsia"/>
                <w:color w:val="000000"/>
                <w:kern w:val="0"/>
                <w:sz w:val="24"/>
                <w:szCs w:val="24"/>
              </w:rPr>
              <w:t>“胸膜炎”</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②新增“胃炎、胃肠炎或”“消化道穿孔或破裂伴”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211</w:t>
            </w:r>
          </w:p>
        </w:tc>
        <w:tc>
          <w:tcPr>
            <w:tcW w:w="3359"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p>
        </w:tc>
        <w:tc>
          <w:tcPr>
            <w:tcW w:w="4022"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修改为</w:t>
            </w:r>
            <w:r>
              <w:rPr>
                <w:rFonts w:hint="eastAsia" w:cs="宋体" w:asciiTheme="minorEastAsia" w:hAnsiTheme="minorEastAsia"/>
                <w:color w:val="000000"/>
                <w:kern w:val="0"/>
                <w:sz w:val="24"/>
                <w:szCs w:val="24"/>
              </w:rPr>
              <w:t>“不常见”</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②删除表格最后一行“其他部位体征”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214</w:t>
            </w:r>
          </w:p>
        </w:tc>
        <w:tc>
          <w:tcPr>
            <w:tcW w:w="3359"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“脱水：容易发生</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食物中毒”</w:t>
            </w:r>
          </w:p>
        </w:tc>
        <w:tc>
          <w:tcPr>
            <w:tcW w:w="4022" w:type="dxa"/>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修改为</w:t>
            </w:r>
            <w:r>
              <w:rPr>
                <w:rFonts w:hint="eastAsia" w:cs="宋体" w:asciiTheme="minorEastAsia" w:hAnsiTheme="minorEastAsia"/>
                <w:color w:val="000000"/>
                <w:kern w:val="0"/>
                <w:sz w:val="24"/>
                <w:szCs w:val="24"/>
              </w:rPr>
              <w:t>“脱水：老人及婴幼儿腹泻</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脱水”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215</w:t>
            </w:r>
          </w:p>
        </w:tc>
        <w:tc>
          <w:tcPr>
            <w:tcW w:w="3359" w:type="dxa"/>
          </w:tcPr>
          <w:p>
            <w:pPr>
              <w:widowControl/>
              <w:spacing w:line="360" w:lineRule="auto"/>
              <w:jc w:val="left"/>
              <w:rPr>
                <w:rFonts w:cs="宋体" w:asciiTheme="minorEastAsia" w:hAnsiTheme="minorEastAsia"/>
                <w:color w:val="000000"/>
                <w:kern w:val="0"/>
                <w:sz w:val="24"/>
                <w:szCs w:val="24"/>
              </w:rPr>
            </w:pPr>
          </w:p>
        </w:tc>
        <w:tc>
          <w:tcPr>
            <w:tcW w:w="4022" w:type="dxa"/>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新增</w:t>
            </w:r>
            <w:r>
              <w:rPr>
                <w:rFonts w:hint="eastAsia" w:cs="宋体" w:asciiTheme="minorEastAsia" w:hAnsiTheme="minorEastAsia"/>
                <w:color w:val="000000"/>
                <w:kern w:val="0"/>
                <w:sz w:val="24"/>
                <w:szCs w:val="24"/>
              </w:rPr>
              <w:t>“部分人</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防治方法”</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216</w:t>
            </w:r>
          </w:p>
        </w:tc>
        <w:tc>
          <w:tcPr>
            <w:tcW w:w="3359" w:type="dxa"/>
          </w:tcPr>
          <w:p>
            <w:pPr>
              <w:widowControl/>
              <w:spacing w:line="360" w:lineRule="auto"/>
              <w:jc w:val="left"/>
              <w:rPr>
                <w:rFonts w:cs="宋体" w:asciiTheme="minorEastAsia" w:hAnsiTheme="minorEastAsia"/>
                <w:color w:val="000000"/>
                <w:kern w:val="0"/>
                <w:sz w:val="24"/>
                <w:szCs w:val="24"/>
              </w:rPr>
            </w:pPr>
          </w:p>
        </w:tc>
        <w:tc>
          <w:tcPr>
            <w:tcW w:w="4022"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删除</w:t>
            </w:r>
            <w:r>
              <w:rPr>
                <w:rFonts w:hint="eastAsia" w:cs="宋体" w:asciiTheme="minorEastAsia" w:hAnsiTheme="minorEastAsia"/>
                <w:color w:val="000000"/>
                <w:kern w:val="0"/>
                <w:sz w:val="24"/>
                <w:szCs w:val="24"/>
              </w:rPr>
              <w:t>“下坠感”</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②删除“上消化道出血”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217</w:t>
            </w:r>
          </w:p>
        </w:tc>
        <w:tc>
          <w:tcPr>
            <w:tcW w:w="3359" w:type="dxa"/>
          </w:tcPr>
          <w:p>
            <w:pPr>
              <w:widowControl/>
              <w:spacing w:line="360" w:lineRule="auto"/>
              <w:jc w:val="left"/>
              <w:rPr>
                <w:rFonts w:cs="宋体" w:asciiTheme="minorEastAsia" w:hAnsiTheme="minorEastAsia"/>
                <w:color w:val="000000"/>
                <w:kern w:val="0"/>
                <w:sz w:val="24"/>
                <w:szCs w:val="24"/>
              </w:rPr>
            </w:pPr>
          </w:p>
        </w:tc>
        <w:tc>
          <w:tcPr>
            <w:tcW w:w="4022"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删除</w:t>
            </w:r>
            <w:r>
              <w:rPr>
                <w:rFonts w:hint="eastAsia" w:cs="宋体" w:asciiTheme="minorEastAsia" w:hAnsiTheme="minorEastAsia"/>
                <w:color w:val="000000"/>
                <w:kern w:val="0"/>
                <w:sz w:val="24"/>
                <w:szCs w:val="24"/>
              </w:rPr>
              <w:t>“应进行腹腔血管彩色多普勒检查，以明确有无缺血性肠病”</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②添加“应考虑到有缺血性肠病的可能性”</w:t>
            </w:r>
          </w:p>
          <w:p>
            <w:pPr>
              <w:widowControl/>
              <w:spacing w:line="360" w:lineRule="auto"/>
              <w:jc w:val="left"/>
              <w:rPr>
                <w:rFonts w:cs="宋体" w:asciiTheme="minorEastAsia" w:hAnsiTheme="minorEastAsia"/>
                <w:color w:val="000000"/>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222</w:t>
            </w:r>
          </w:p>
        </w:tc>
        <w:tc>
          <w:tcPr>
            <w:tcW w:w="3359"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①“异常子宫出血”</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②“月经失调”</w:t>
            </w:r>
          </w:p>
        </w:tc>
        <w:tc>
          <w:tcPr>
            <w:tcW w:w="4022"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修改为</w:t>
            </w:r>
            <w:r>
              <w:rPr>
                <w:rFonts w:hint="eastAsia" w:cs="宋体" w:asciiTheme="minorEastAsia" w:hAnsiTheme="minorEastAsia"/>
                <w:color w:val="000000"/>
                <w:kern w:val="0"/>
                <w:sz w:val="24"/>
                <w:szCs w:val="24"/>
              </w:rPr>
              <w:t>“功能失调性子宫出血”</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②修改为“异常子宫出血”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227</w:t>
            </w:r>
          </w:p>
        </w:tc>
        <w:tc>
          <w:tcPr>
            <w:tcW w:w="3359"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④颅底凹入症</w:t>
            </w:r>
          </w:p>
        </w:tc>
        <w:tc>
          <w:tcPr>
            <w:tcW w:w="4022"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头痛概述变动</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②新增“原发性头痛的病因较为复杂</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主要依据”</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③删除“偏头痛、丛集性头痛、头痛型癫痫”</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④修改为“颅底凹陷症”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228</w:t>
            </w:r>
          </w:p>
        </w:tc>
        <w:tc>
          <w:tcPr>
            <w:tcW w:w="3359"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“神经症</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.癔症性头痛”</w:t>
            </w:r>
          </w:p>
        </w:tc>
        <w:tc>
          <w:tcPr>
            <w:tcW w:w="4022"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修改为</w:t>
            </w:r>
            <w:r>
              <w:rPr>
                <w:rFonts w:hint="eastAsia" w:cs="宋体" w:asciiTheme="minorEastAsia" w:hAnsiTheme="minorEastAsia"/>
                <w:color w:val="000000"/>
                <w:kern w:val="0"/>
                <w:sz w:val="24"/>
                <w:szCs w:val="24"/>
              </w:rPr>
              <w:t>“精神心理因素</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焦虑等”</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②增加“持续数秒至数十秒”</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③新增“相关鉴别问诊①</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229</w:t>
            </w:r>
          </w:p>
        </w:tc>
        <w:tc>
          <w:tcPr>
            <w:tcW w:w="3359" w:type="dxa"/>
          </w:tcPr>
          <w:p>
            <w:pPr>
              <w:widowControl/>
              <w:spacing w:line="360" w:lineRule="auto"/>
              <w:jc w:val="left"/>
              <w:rPr>
                <w:rFonts w:cs="宋体" w:asciiTheme="minorEastAsia" w:hAnsiTheme="minorEastAsia"/>
                <w:color w:val="000000"/>
                <w:kern w:val="0"/>
                <w:sz w:val="24"/>
                <w:szCs w:val="24"/>
              </w:rPr>
            </w:pPr>
          </w:p>
        </w:tc>
        <w:tc>
          <w:tcPr>
            <w:tcW w:w="4022" w:type="dxa"/>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新增</w:t>
            </w:r>
            <w:r>
              <w:rPr>
                <w:rFonts w:hint="eastAsia" w:cs="宋体" w:asciiTheme="minorEastAsia" w:hAnsiTheme="minorEastAsia"/>
                <w:color w:val="000000"/>
                <w:kern w:val="0"/>
                <w:sz w:val="24"/>
                <w:szCs w:val="24"/>
              </w:rPr>
              <w:t>“小儿高热性惊厥主要由急性感染所致”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230</w:t>
            </w:r>
          </w:p>
        </w:tc>
        <w:tc>
          <w:tcPr>
            <w:tcW w:w="3359" w:type="dxa"/>
          </w:tcPr>
          <w:p>
            <w:pPr>
              <w:widowControl/>
              <w:spacing w:line="360" w:lineRule="auto"/>
              <w:jc w:val="left"/>
              <w:rPr>
                <w:rFonts w:cs="宋体" w:asciiTheme="minorEastAsia" w:hAnsiTheme="minorEastAsia"/>
                <w:color w:val="000000"/>
                <w:kern w:val="0"/>
                <w:sz w:val="24"/>
                <w:szCs w:val="24"/>
              </w:rPr>
            </w:pPr>
          </w:p>
        </w:tc>
        <w:tc>
          <w:tcPr>
            <w:tcW w:w="4022" w:type="dxa"/>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抽搐</w:t>
            </w:r>
            <w:r>
              <w:rPr>
                <w:rFonts w:hint="eastAsia" w:cs="宋体" w:asciiTheme="minorEastAsia" w:hAnsiTheme="minorEastAsia"/>
                <w:color w:val="000000"/>
                <w:kern w:val="0"/>
                <w:sz w:val="24"/>
                <w:szCs w:val="24"/>
              </w:rPr>
              <w:t>“处理和转诊”变动</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眩晕“概述”变动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231</w:t>
            </w:r>
          </w:p>
        </w:tc>
        <w:tc>
          <w:tcPr>
            <w:tcW w:w="3359" w:type="dxa"/>
          </w:tcPr>
          <w:p>
            <w:pPr>
              <w:widowControl/>
              <w:spacing w:line="360" w:lineRule="auto"/>
              <w:jc w:val="left"/>
              <w:rPr>
                <w:rFonts w:cs="宋体" w:asciiTheme="minorEastAsia" w:hAnsiTheme="minorEastAsia"/>
                <w:color w:val="000000"/>
                <w:kern w:val="0"/>
                <w:sz w:val="24"/>
                <w:szCs w:val="24"/>
              </w:rPr>
            </w:pPr>
          </w:p>
        </w:tc>
        <w:tc>
          <w:tcPr>
            <w:tcW w:w="4022"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①</w:t>
            </w:r>
            <w:r>
              <w:rPr>
                <w:rFonts w:cs="宋体" w:asciiTheme="minorEastAsia" w:hAnsiTheme="minorEastAsia"/>
                <w:color w:val="000000"/>
                <w:kern w:val="0"/>
                <w:sz w:val="24"/>
                <w:szCs w:val="24"/>
              </w:rPr>
              <w:t>眩晕</w:t>
            </w:r>
            <w:r>
              <w:rPr>
                <w:rFonts w:hint="eastAsia" w:cs="宋体" w:asciiTheme="minorEastAsia" w:hAnsiTheme="minorEastAsia"/>
                <w:color w:val="000000"/>
                <w:kern w:val="0"/>
                <w:sz w:val="24"/>
                <w:szCs w:val="24"/>
              </w:rPr>
              <w:t>“常见病因”变动</w:t>
            </w:r>
          </w:p>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②新增临床特点、诊断思路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233</w:t>
            </w:r>
          </w:p>
        </w:tc>
        <w:tc>
          <w:tcPr>
            <w:tcW w:w="3359" w:type="dxa"/>
          </w:tcPr>
          <w:p>
            <w:pPr>
              <w:widowControl/>
              <w:spacing w:line="360" w:lineRule="auto"/>
              <w:jc w:val="left"/>
              <w:rPr>
                <w:rFonts w:cs="宋体" w:asciiTheme="minorEastAsia" w:hAnsiTheme="minorEastAsia"/>
                <w:color w:val="000000"/>
                <w:kern w:val="0"/>
                <w:sz w:val="24"/>
                <w:szCs w:val="24"/>
              </w:rPr>
            </w:pPr>
          </w:p>
        </w:tc>
        <w:tc>
          <w:tcPr>
            <w:tcW w:w="4022" w:type="dxa"/>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新增</w:t>
            </w:r>
            <w:r>
              <w:rPr>
                <w:rFonts w:hint="eastAsia" w:cs="宋体" w:asciiTheme="minorEastAsia" w:hAnsiTheme="minorEastAsia"/>
                <w:color w:val="000000"/>
                <w:kern w:val="0"/>
                <w:sz w:val="24"/>
                <w:szCs w:val="24"/>
              </w:rPr>
              <w:t>“</w:t>
            </w:r>
            <w:r>
              <w:rPr>
                <w:rFonts w:cs="宋体" w:asciiTheme="minorEastAsia" w:hAnsiTheme="minorEastAsia"/>
                <w:color w:val="000000"/>
                <w:kern w:val="0"/>
                <w:sz w:val="24"/>
                <w:szCs w:val="24"/>
              </w:rPr>
              <w:t>晕厥诊断思路</w:t>
            </w:r>
            <w:r>
              <w:rPr>
                <w:rFonts w:hint="eastAsia" w:cs="宋体" w:asciiTheme="minorEastAsia" w:hAnsiTheme="minorEastAsia"/>
                <w:color w:val="000000"/>
                <w:kern w:val="0"/>
                <w:sz w:val="24"/>
                <w:szCs w:val="24"/>
              </w:rPr>
              <w:t>、处理、转诊指征”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234</w:t>
            </w:r>
          </w:p>
        </w:tc>
        <w:tc>
          <w:tcPr>
            <w:tcW w:w="3359" w:type="dxa"/>
          </w:tcPr>
          <w:p>
            <w:pPr>
              <w:widowControl/>
              <w:spacing w:line="360" w:lineRule="auto"/>
              <w:jc w:val="left"/>
              <w:rPr>
                <w:rFonts w:cs="宋体" w:asciiTheme="minorEastAsia" w:hAnsiTheme="minorEastAsia"/>
                <w:color w:val="000000"/>
                <w:kern w:val="0"/>
                <w:sz w:val="24"/>
                <w:szCs w:val="24"/>
              </w:rPr>
            </w:pPr>
          </w:p>
        </w:tc>
        <w:tc>
          <w:tcPr>
            <w:tcW w:w="4022" w:type="dxa"/>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新增</w:t>
            </w:r>
            <w:r>
              <w:rPr>
                <w:rFonts w:hint="eastAsia" w:cs="宋体" w:asciiTheme="minorEastAsia" w:hAnsiTheme="minorEastAsia"/>
                <w:color w:val="000000"/>
                <w:kern w:val="0"/>
                <w:sz w:val="24"/>
                <w:szCs w:val="24"/>
              </w:rPr>
              <w:t>“意识障碍常见病因：心血管疾病</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408" w:type="dxa"/>
          </w:tcPr>
          <w:p>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236</w:t>
            </w:r>
          </w:p>
        </w:tc>
        <w:tc>
          <w:tcPr>
            <w:tcW w:w="3359" w:type="dxa"/>
          </w:tcPr>
          <w:p>
            <w:pPr>
              <w:widowControl/>
              <w:spacing w:line="360" w:lineRule="auto"/>
              <w:jc w:val="left"/>
              <w:rPr>
                <w:rFonts w:cs="宋体" w:asciiTheme="minorEastAsia" w:hAnsiTheme="minorEastAsia"/>
                <w:color w:val="000000"/>
                <w:kern w:val="0"/>
                <w:sz w:val="24"/>
                <w:szCs w:val="24"/>
              </w:rPr>
            </w:pPr>
          </w:p>
        </w:tc>
        <w:tc>
          <w:tcPr>
            <w:tcW w:w="4022" w:type="dxa"/>
          </w:tcPr>
          <w:p>
            <w:pPr>
              <w:widowControl/>
              <w:spacing w:line="360" w:lineRule="auto"/>
              <w:jc w:val="left"/>
              <w:rPr>
                <w:rFonts w:cs="宋体" w:asciiTheme="minorEastAsia" w:hAnsiTheme="minorEastAsia"/>
                <w:color w:val="000000"/>
                <w:kern w:val="0"/>
                <w:sz w:val="24"/>
                <w:szCs w:val="24"/>
              </w:rPr>
            </w:pPr>
            <w:r>
              <w:rPr>
                <w:rFonts w:cs="宋体" w:asciiTheme="minorEastAsia" w:hAnsiTheme="minorEastAsia"/>
                <w:color w:val="000000"/>
                <w:kern w:val="0"/>
                <w:sz w:val="24"/>
                <w:szCs w:val="24"/>
              </w:rPr>
              <w:t>删除</w:t>
            </w:r>
            <w:r>
              <w:rPr>
                <w:rFonts w:hint="eastAsia" w:cs="宋体" w:asciiTheme="minorEastAsia" w:hAnsiTheme="minorEastAsia"/>
                <w:color w:val="000000"/>
                <w:kern w:val="0"/>
                <w:sz w:val="24"/>
                <w:szCs w:val="24"/>
              </w:rPr>
              <w:t>“口服糖水”</w:t>
            </w:r>
          </w:p>
        </w:tc>
      </w:tr>
    </w:tbl>
    <w:tbl>
      <w:tblPr>
        <w:tblStyle w:val="4"/>
        <w:tblW w:w="8798" w:type="dxa"/>
        <w:tblInd w:w="99" w:type="dxa"/>
        <w:tblLayout w:type="autofit"/>
        <w:tblCellMar>
          <w:top w:w="0" w:type="dxa"/>
          <w:left w:w="108" w:type="dxa"/>
          <w:bottom w:w="0" w:type="dxa"/>
          <w:right w:w="108" w:type="dxa"/>
        </w:tblCellMar>
      </w:tblPr>
      <w:tblGrid>
        <w:gridCol w:w="1427"/>
        <w:gridCol w:w="3402"/>
        <w:gridCol w:w="3969"/>
      </w:tblGrid>
      <w:tr>
        <w:tblPrEx>
          <w:tblCellMar>
            <w:top w:w="0" w:type="dxa"/>
            <w:left w:w="108" w:type="dxa"/>
            <w:bottom w:w="0" w:type="dxa"/>
            <w:right w:w="108" w:type="dxa"/>
          </w:tblCellMar>
        </w:tblPrEx>
        <w:trPr>
          <w:trHeight w:val="1130" w:hRule="atLeast"/>
        </w:trPr>
        <w:tc>
          <w:tcPr>
            <w:tcW w:w="1427" w:type="dxa"/>
            <w:tcBorders>
              <w:top w:val="nil"/>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39</w:t>
            </w:r>
          </w:p>
        </w:tc>
        <w:tc>
          <w:tcPr>
            <w:tcW w:w="3402" w:type="dxa"/>
            <w:tcBorders>
              <w:top w:val="nil"/>
              <w:left w:val="nil"/>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nil"/>
              <w:left w:val="nil"/>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（一）普通感冒增加：伴发并发症者可致病程迁延</w:t>
            </w:r>
          </w:p>
        </w:tc>
      </w:tr>
      <w:tr>
        <w:tblPrEx>
          <w:tblCellMar>
            <w:top w:w="0" w:type="dxa"/>
            <w:left w:w="108" w:type="dxa"/>
            <w:bottom w:w="0" w:type="dxa"/>
            <w:right w:w="108" w:type="dxa"/>
          </w:tblCellMar>
        </w:tblPrEx>
        <w:trPr>
          <w:trHeight w:val="765" w:hRule="atLeast"/>
        </w:trPr>
        <w:tc>
          <w:tcPr>
            <w:tcW w:w="1427" w:type="dxa"/>
            <w:tcBorders>
              <w:top w:val="nil"/>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40</w:t>
            </w:r>
          </w:p>
        </w:tc>
        <w:tc>
          <w:tcPr>
            <w:tcW w:w="3402" w:type="dxa"/>
            <w:tcBorders>
              <w:top w:val="nil"/>
              <w:left w:val="nil"/>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nil"/>
              <w:left w:val="nil"/>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w:t>
            </w:r>
            <w:r>
              <w:rPr>
                <w:rFonts w:hint="eastAsia" w:asciiTheme="minorEastAsia" w:hAnsiTheme="minorEastAsia"/>
                <w:sz w:val="24"/>
                <w:szCs w:val="24"/>
              </w:rPr>
              <w:t>对症治疗增加：小儿感冒忌用阿司匹林，以防脑病合并内脏脂肪变性综合征（R</w:t>
            </w:r>
            <w:r>
              <w:rPr>
                <w:rFonts w:asciiTheme="minorEastAsia" w:hAnsiTheme="minorEastAsia"/>
                <w:sz w:val="24"/>
                <w:szCs w:val="24"/>
              </w:rPr>
              <w:t>eye</w:t>
            </w:r>
            <w:r>
              <w:rPr>
                <w:rFonts w:hint="eastAsia" w:asciiTheme="minorEastAsia" w:hAnsiTheme="minorEastAsia"/>
                <w:sz w:val="24"/>
                <w:szCs w:val="24"/>
              </w:rPr>
              <w:t>综合征</w:t>
            </w:r>
            <w:r>
              <w:rPr>
                <w:rFonts w:asciiTheme="minorEastAsia" w:hAnsiTheme="minorEastAsia"/>
                <w:sz w:val="24"/>
                <w:szCs w:val="24"/>
              </w:rPr>
              <w:t>）</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48</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五、转诊指征新增：新型冠状病毒肺炎</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53</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前临床阶段</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前临床心力衰竭阶段</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53</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难治性心力衰竭阶段</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难治性终末期心力衰竭阶段</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65</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胃黏膜表层上皮和腺上皮被杯状上皮和幽门腺细胞所取代</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胃黏膜表层上皮和腺上皮被杯状上皮所取代，或胃体、胃底部腺体被类似幽门腺体被类似幽门腺的黏液分泌细胞所取代的现象分别称为肠上皮化生和假幽门腺化生</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67</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2体征（4）增加：甚至为板状腹</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71</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表3</w:t>
            </w:r>
            <w:r>
              <w:rPr>
                <w:rFonts w:asciiTheme="minorEastAsia" w:hAnsiTheme="minorEastAsia"/>
                <w:sz w:val="24"/>
                <w:szCs w:val="24"/>
              </w:rPr>
              <w:t>-3-20</w:t>
            </w:r>
            <w:r>
              <w:rPr>
                <w:rFonts w:hint="eastAsia" w:asciiTheme="minorEastAsia" w:hAnsiTheme="minorEastAsia"/>
                <w:sz w:val="24"/>
                <w:szCs w:val="24"/>
              </w:rPr>
              <w:t>，胆红素/（mg•dl</w:t>
            </w:r>
            <w:r>
              <w:rPr>
                <w:rFonts w:asciiTheme="minorEastAsia" w:hAnsiTheme="minorEastAsia"/>
                <w:sz w:val="24"/>
                <w:szCs w:val="24"/>
                <w:vertAlign w:val="superscript"/>
              </w:rPr>
              <w:t>-1</w:t>
            </w:r>
            <w:r>
              <w:rPr>
                <w:rFonts w:hint="eastAsia" w:asciiTheme="minorEastAsia" w:hAnsiTheme="minorEastAsia"/>
                <w:sz w:val="24"/>
                <w:szCs w:val="24"/>
              </w:rPr>
              <w:t>）：＜2、2</w:t>
            </w:r>
            <w:r>
              <w:rPr>
                <w:rFonts w:asciiTheme="minorEastAsia" w:hAnsiTheme="minorEastAsia"/>
                <w:sz w:val="24"/>
                <w:szCs w:val="24"/>
              </w:rPr>
              <w:t>～3</w:t>
            </w:r>
            <w:r>
              <w:rPr>
                <w:rFonts w:hint="eastAsia" w:asciiTheme="minorEastAsia" w:hAnsiTheme="minorEastAsia"/>
                <w:sz w:val="24"/>
                <w:szCs w:val="24"/>
              </w:rPr>
              <w:t>、＞3；原发性胆汁性肝硬化（P</w:t>
            </w:r>
            <w:r>
              <w:rPr>
                <w:rFonts w:asciiTheme="minorEastAsia" w:hAnsiTheme="minorEastAsia"/>
                <w:sz w:val="24"/>
                <w:szCs w:val="24"/>
              </w:rPr>
              <w:t>BC</w:t>
            </w:r>
            <w:r>
              <w:rPr>
                <w:rFonts w:hint="eastAsia" w:asciiTheme="minorEastAsia" w:hAnsiTheme="minorEastAsia"/>
                <w:sz w:val="24"/>
                <w:szCs w:val="24"/>
              </w:rPr>
              <w:t>）时胆红素：1～</w:t>
            </w:r>
            <w:r>
              <w:rPr>
                <w:rFonts w:asciiTheme="minorEastAsia" w:hAnsiTheme="minorEastAsia"/>
                <w:sz w:val="24"/>
                <w:szCs w:val="24"/>
              </w:rPr>
              <w:t>4</w:t>
            </w:r>
            <w:r>
              <w:rPr>
                <w:rFonts w:hint="eastAsia" w:asciiTheme="minorEastAsia" w:hAnsiTheme="minorEastAsia"/>
                <w:sz w:val="24"/>
                <w:szCs w:val="24"/>
              </w:rPr>
              <w:t>、4</w:t>
            </w:r>
            <w:r>
              <w:rPr>
                <w:rFonts w:asciiTheme="minorEastAsia" w:hAnsiTheme="minorEastAsia"/>
                <w:sz w:val="24"/>
                <w:szCs w:val="24"/>
              </w:rPr>
              <w:t>～10</w:t>
            </w:r>
            <w:r>
              <w:rPr>
                <w:rFonts w:hint="eastAsia" w:asciiTheme="minorEastAsia" w:hAnsiTheme="minorEastAsia"/>
                <w:sz w:val="24"/>
                <w:szCs w:val="24"/>
              </w:rPr>
              <w:t>、＞1</w:t>
            </w:r>
            <w:r>
              <w:rPr>
                <w:rFonts w:asciiTheme="minorEastAsia" w:hAnsiTheme="minorEastAsia"/>
                <w:sz w:val="24"/>
                <w:szCs w:val="24"/>
              </w:rPr>
              <w:t>0</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单位和数据变动：表3</w:t>
            </w:r>
            <w:r>
              <w:rPr>
                <w:rFonts w:asciiTheme="minorEastAsia" w:hAnsiTheme="minorEastAsia"/>
                <w:sz w:val="24"/>
                <w:szCs w:val="24"/>
              </w:rPr>
              <w:t>-3-20</w:t>
            </w:r>
            <w:r>
              <w:rPr>
                <w:rFonts w:hint="eastAsia" w:asciiTheme="minorEastAsia" w:hAnsiTheme="minorEastAsia"/>
                <w:sz w:val="24"/>
                <w:szCs w:val="24"/>
              </w:rPr>
              <w:t>，胆红素/（μmmol•L</w:t>
            </w:r>
            <w:r>
              <w:rPr>
                <w:rFonts w:asciiTheme="minorEastAsia" w:hAnsiTheme="minorEastAsia"/>
                <w:sz w:val="24"/>
                <w:szCs w:val="24"/>
                <w:vertAlign w:val="superscript"/>
              </w:rPr>
              <w:t>-1</w:t>
            </w:r>
            <w:r>
              <w:rPr>
                <w:rFonts w:hint="eastAsia" w:asciiTheme="minorEastAsia" w:hAnsiTheme="minorEastAsia"/>
                <w:sz w:val="24"/>
                <w:szCs w:val="24"/>
              </w:rPr>
              <w:t>）：</w:t>
            </w:r>
            <w:r>
              <w:rPr>
                <w:rFonts w:hint="eastAsia" w:asciiTheme="minorEastAsia" w:hAnsiTheme="minorEastAsia"/>
                <w:color w:val="FF0000"/>
                <w:sz w:val="24"/>
                <w:szCs w:val="24"/>
              </w:rPr>
              <w:t>＜3</w:t>
            </w:r>
            <w:r>
              <w:rPr>
                <w:rFonts w:asciiTheme="minorEastAsia" w:hAnsiTheme="minorEastAsia"/>
                <w:color w:val="FF0000"/>
                <w:sz w:val="24"/>
                <w:szCs w:val="24"/>
              </w:rPr>
              <w:t>4</w:t>
            </w:r>
            <w:r>
              <w:rPr>
                <w:rFonts w:hint="eastAsia" w:asciiTheme="minorEastAsia" w:hAnsiTheme="minorEastAsia"/>
                <w:color w:val="FF0000"/>
                <w:sz w:val="24"/>
                <w:szCs w:val="24"/>
              </w:rPr>
              <w:t>、3</w:t>
            </w:r>
            <w:r>
              <w:rPr>
                <w:rFonts w:asciiTheme="minorEastAsia" w:hAnsiTheme="minorEastAsia"/>
                <w:color w:val="FF0000"/>
                <w:sz w:val="24"/>
                <w:szCs w:val="24"/>
              </w:rPr>
              <w:t>4～51</w:t>
            </w:r>
            <w:r>
              <w:rPr>
                <w:rFonts w:hint="eastAsia" w:asciiTheme="minorEastAsia" w:hAnsiTheme="minorEastAsia"/>
                <w:color w:val="FF0000"/>
                <w:sz w:val="24"/>
                <w:szCs w:val="24"/>
              </w:rPr>
              <w:t>、＞5</w:t>
            </w:r>
            <w:r>
              <w:rPr>
                <w:rFonts w:asciiTheme="minorEastAsia" w:hAnsiTheme="minorEastAsia"/>
                <w:color w:val="FF0000"/>
                <w:sz w:val="24"/>
                <w:szCs w:val="24"/>
              </w:rPr>
              <w:t>1</w:t>
            </w:r>
            <w:r>
              <w:rPr>
                <w:rFonts w:hint="eastAsia" w:asciiTheme="minorEastAsia" w:hAnsiTheme="minorEastAsia"/>
                <w:sz w:val="24"/>
                <w:szCs w:val="24"/>
              </w:rPr>
              <w:t>；原发性胆汁性肝硬化（P</w:t>
            </w:r>
            <w:r>
              <w:rPr>
                <w:rFonts w:asciiTheme="minorEastAsia" w:hAnsiTheme="minorEastAsia"/>
                <w:sz w:val="24"/>
                <w:szCs w:val="24"/>
              </w:rPr>
              <w:t>BC</w:t>
            </w:r>
            <w:r>
              <w:rPr>
                <w:rFonts w:hint="eastAsia" w:asciiTheme="minorEastAsia" w:hAnsiTheme="minorEastAsia"/>
                <w:sz w:val="24"/>
                <w:szCs w:val="24"/>
              </w:rPr>
              <w:t>）时胆红素/（μmmol•L</w:t>
            </w:r>
            <w:r>
              <w:rPr>
                <w:rFonts w:asciiTheme="minorEastAsia" w:hAnsiTheme="minorEastAsia"/>
                <w:sz w:val="24"/>
                <w:szCs w:val="24"/>
                <w:vertAlign w:val="superscript"/>
              </w:rPr>
              <w:t>-1</w:t>
            </w:r>
            <w:r>
              <w:rPr>
                <w:rFonts w:hint="eastAsia" w:asciiTheme="minorEastAsia" w:hAnsiTheme="minorEastAsia"/>
                <w:sz w:val="24"/>
                <w:szCs w:val="24"/>
              </w:rPr>
              <w:t>）：</w:t>
            </w:r>
            <w:r>
              <w:rPr>
                <w:rFonts w:hint="eastAsia" w:asciiTheme="minorEastAsia" w:hAnsiTheme="minorEastAsia"/>
                <w:color w:val="FF0000"/>
                <w:sz w:val="24"/>
                <w:szCs w:val="24"/>
              </w:rPr>
              <w:t>1</w:t>
            </w:r>
            <w:r>
              <w:rPr>
                <w:rFonts w:asciiTheme="minorEastAsia" w:hAnsiTheme="minorEastAsia"/>
                <w:color w:val="FF0000"/>
                <w:sz w:val="24"/>
                <w:szCs w:val="24"/>
              </w:rPr>
              <w:t>7～</w:t>
            </w:r>
            <w:r>
              <w:rPr>
                <w:rFonts w:hint="eastAsia" w:asciiTheme="minorEastAsia" w:hAnsiTheme="minorEastAsia"/>
                <w:color w:val="FF0000"/>
                <w:sz w:val="24"/>
                <w:szCs w:val="24"/>
              </w:rPr>
              <w:t>＜6</w:t>
            </w:r>
            <w:r>
              <w:rPr>
                <w:rFonts w:asciiTheme="minorEastAsia" w:hAnsiTheme="minorEastAsia"/>
                <w:color w:val="FF0000"/>
                <w:sz w:val="24"/>
                <w:szCs w:val="24"/>
              </w:rPr>
              <w:t>8</w:t>
            </w:r>
            <w:r>
              <w:rPr>
                <w:rFonts w:hint="eastAsia" w:asciiTheme="minorEastAsia" w:hAnsiTheme="minorEastAsia"/>
                <w:color w:val="FF0000"/>
                <w:sz w:val="24"/>
                <w:szCs w:val="24"/>
              </w:rPr>
              <w:t>、6</w:t>
            </w:r>
            <w:r>
              <w:rPr>
                <w:rFonts w:asciiTheme="minorEastAsia" w:hAnsiTheme="minorEastAsia"/>
                <w:color w:val="FF0000"/>
                <w:sz w:val="24"/>
                <w:szCs w:val="24"/>
              </w:rPr>
              <w:t>8～170</w:t>
            </w:r>
            <w:r>
              <w:rPr>
                <w:rFonts w:hint="eastAsia" w:asciiTheme="minorEastAsia" w:hAnsiTheme="minorEastAsia"/>
                <w:color w:val="FF0000"/>
                <w:sz w:val="24"/>
                <w:szCs w:val="24"/>
              </w:rPr>
              <w:t>、＞1</w:t>
            </w:r>
            <w:r>
              <w:rPr>
                <w:rFonts w:asciiTheme="minorEastAsia" w:hAnsiTheme="minorEastAsia"/>
                <w:color w:val="FF0000"/>
                <w:sz w:val="24"/>
                <w:szCs w:val="24"/>
              </w:rPr>
              <w:t>70</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78</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1．症状（2）增加：伴有持续性的器官功能衰竭，超过4</w:t>
            </w:r>
            <w:r>
              <w:rPr>
                <w:rFonts w:asciiTheme="minorEastAsia" w:hAnsiTheme="minorEastAsia"/>
                <w:sz w:val="24"/>
                <w:szCs w:val="24"/>
              </w:rPr>
              <w:t>8</w:t>
            </w:r>
            <w:r>
              <w:rPr>
                <w:rFonts w:hint="eastAsia" w:asciiTheme="minorEastAsia" w:hAnsiTheme="minorEastAsia"/>
                <w:sz w:val="24"/>
                <w:szCs w:val="24"/>
              </w:rPr>
              <w:t>小时；删除：可出现全身并发症、单个或多脏器功能障碍的表现。（3）增加：伴有一过性的器官功能衰竭，4</w:t>
            </w:r>
            <w:r>
              <w:rPr>
                <w:rFonts w:asciiTheme="minorEastAsia" w:hAnsiTheme="minorEastAsia"/>
                <w:sz w:val="24"/>
                <w:szCs w:val="24"/>
              </w:rPr>
              <w:t>8</w:t>
            </w:r>
            <w:r>
              <w:rPr>
                <w:rFonts w:hint="eastAsia" w:asciiTheme="minorEastAsia" w:hAnsiTheme="minorEastAsia"/>
                <w:sz w:val="24"/>
                <w:szCs w:val="24"/>
              </w:rPr>
              <w:t>小时内可以自行恢复</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279</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FF0000"/>
                <w:sz w:val="24"/>
                <w:szCs w:val="24"/>
              </w:rPr>
            </w:pPr>
            <w:r>
              <w:rPr>
                <w:rFonts w:hint="eastAsia" w:asciiTheme="minorEastAsia" w:hAnsiTheme="minorEastAsia"/>
                <w:color w:val="FF0000"/>
                <w:sz w:val="24"/>
                <w:szCs w:val="24"/>
              </w:rPr>
              <w:t>急性胰腺炎的治疗原则：非手术治疗和手术治疗的顺序和内容均有变动</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88</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三、治疗原则3</w:t>
            </w:r>
            <w:r>
              <w:rPr>
                <w:rFonts w:asciiTheme="minorEastAsia" w:hAnsiTheme="minorEastAsia"/>
                <w:sz w:val="24"/>
                <w:szCs w:val="24"/>
              </w:rPr>
              <w:t>.</w:t>
            </w:r>
            <w:r>
              <w:rPr>
                <w:rFonts w:hint="eastAsia" w:asciiTheme="minorEastAsia" w:hAnsiTheme="minorEastAsia"/>
                <w:sz w:val="24"/>
                <w:szCs w:val="24"/>
              </w:rPr>
              <w:t>：初始治疗</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三、治疗原则3</w:t>
            </w:r>
            <w:r>
              <w:rPr>
                <w:rFonts w:asciiTheme="minorEastAsia" w:hAnsiTheme="minorEastAsia"/>
                <w:sz w:val="24"/>
                <w:szCs w:val="24"/>
              </w:rPr>
              <w:t>.</w:t>
            </w:r>
            <w:r>
              <w:rPr>
                <w:rFonts w:hint="eastAsia" w:asciiTheme="minorEastAsia" w:hAnsiTheme="minorEastAsia"/>
                <w:sz w:val="24"/>
                <w:szCs w:val="24"/>
              </w:rPr>
              <w:t>：强化治疗，新增强化治疗方案即在单纯性治疗的基础上延长1</w:t>
            </w:r>
            <w:r>
              <w:rPr>
                <w:rFonts w:asciiTheme="minorEastAsia" w:hAnsiTheme="minorEastAsia"/>
                <w:sz w:val="24"/>
                <w:szCs w:val="24"/>
              </w:rPr>
              <w:t>～2</w:t>
            </w:r>
            <w:r>
              <w:rPr>
                <w:rFonts w:hint="eastAsia" w:asciiTheme="minorEastAsia" w:hAnsiTheme="minorEastAsia"/>
                <w:sz w:val="24"/>
                <w:szCs w:val="24"/>
              </w:rPr>
              <w:t>个疗程的治疗时间</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89</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三、治疗原则1</w:t>
            </w:r>
            <w:r>
              <w:rPr>
                <w:rFonts w:asciiTheme="minorEastAsia" w:hAnsiTheme="minorEastAsia"/>
                <w:sz w:val="24"/>
                <w:szCs w:val="24"/>
              </w:rPr>
              <w:t>.</w:t>
            </w:r>
            <w:r>
              <w:rPr>
                <w:rFonts w:hint="eastAsia" w:asciiTheme="minorEastAsia" w:hAnsiTheme="minorEastAsia"/>
                <w:sz w:val="24"/>
                <w:szCs w:val="24"/>
              </w:rPr>
              <w:t>全身用药删除：或单次口服2g，甲硝唑单次口服不如连用7日效果</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93</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w:t>
            </w:r>
            <w:r>
              <w:rPr>
                <w:rFonts w:hint="eastAsia" w:asciiTheme="minorEastAsia" w:hAnsiTheme="minorEastAsia"/>
                <w:sz w:val="24"/>
                <w:szCs w:val="24"/>
              </w:rPr>
              <w:t>输红细胞新增：</w:t>
            </w:r>
            <w:r>
              <w:rPr>
                <w:rFonts w:hint="eastAsia" w:asciiTheme="minorEastAsia" w:hAnsiTheme="minorEastAsia"/>
                <w:color w:val="FF0000"/>
                <w:sz w:val="24"/>
                <w:szCs w:val="24"/>
              </w:rPr>
              <w:t>Hb≤</w:t>
            </w:r>
            <w:r>
              <w:rPr>
                <w:rFonts w:asciiTheme="minorEastAsia" w:hAnsiTheme="minorEastAsia"/>
                <w:color w:val="FF0000"/>
                <w:sz w:val="24"/>
                <w:szCs w:val="24"/>
              </w:rPr>
              <w:t>60</w:t>
            </w:r>
            <w:r>
              <w:rPr>
                <w:rFonts w:hint="eastAsia" w:asciiTheme="minorEastAsia" w:hAnsiTheme="minorEastAsia"/>
                <w:color w:val="FF0000"/>
                <w:sz w:val="24"/>
                <w:szCs w:val="24"/>
              </w:rPr>
              <w:t>g</w:t>
            </w:r>
            <w:r>
              <w:rPr>
                <w:rFonts w:asciiTheme="minorEastAsia" w:hAnsiTheme="minorEastAsia"/>
                <w:color w:val="FF0000"/>
                <w:sz w:val="24"/>
                <w:szCs w:val="24"/>
              </w:rPr>
              <w:t>/L</w:t>
            </w:r>
            <w:r>
              <w:rPr>
                <w:rFonts w:hint="eastAsia" w:asciiTheme="minorEastAsia" w:hAnsiTheme="minorEastAsia"/>
                <w:color w:val="FF0000"/>
                <w:sz w:val="24"/>
                <w:szCs w:val="24"/>
              </w:rPr>
              <w:t>者，每次可输注浓缩红细胞3</w:t>
            </w:r>
            <w:r>
              <w:rPr>
                <w:rFonts w:asciiTheme="minorEastAsia" w:hAnsiTheme="minorEastAsia"/>
                <w:color w:val="FF0000"/>
                <w:sz w:val="24"/>
                <w:szCs w:val="24"/>
              </w:rPr>
              <w:t>～6</w:t>
            </w:r>
            <w:r>
              <w:rPr>
                <w:rFonts w:hint="eastAsia" w:asciiTheme="minorEastAsia" w:hAnsiTheme="minorEastAsia"/>
                <w:color w:val="FF0000"/>
                <w:sz w:val="24"/>
                <w:szCs w:val="24"/>
              </w:rPr>
              <w:t>ml</w:t>
            </w:r>
            <w:r>
              <w:rPr>
                <w:rFonts w:asciiTheme="minorEastAsia" w:hAnsiTheme="minorEastAsia"/>
                <w:color w:val="FF0000"/>
                <w:sz w:val="24"/>
                <w:szCs w:val="24"/>
              </w:rPr>
              <w:t>/K</w:t>
            </w:r>
            <w:r>
              <w:rPr>
                <w:rFonts w:hint="eastAsia" w:asciiTheme="minorEastAsia" w:hAnsiTheme="minorEastAsia"/>
                <w:color w:val="FF0000"/>
                <w:sz w:val="24"/>
                <w:szCs w:val="24"/>
              </w:rPr>
              <w:t>g</w:t>
            </w:r>
            <w:r>
              <w:rPr>
                <w:rFonts w:hint="eastAsia" w:asciiTheme="minorEastAsia" w:hAnsiTheme="minorEastAsia"/>
                <w:sz w:val="24"/>
                <w:szCs w:val="24"/>
              </w:rPr>
              <w:t>；尤其是长期慢性贫血者；删除：</w:t>
            </w:r>
            <w:r>
              <w:rPr>
                <w:rFonts w:hint="eastAsia" w:asciiTheme="minorEastAsia" w:hAnsiTheme="minorEastAsia"/>
                <w:color w:val="000000" w:themeColor="text1"/>
                <w:sz w:val="24"/>
                <w:szCs w:val="24"/>
              </w:rPr>
              <w:t>Hb在3</w:t>
            </w:r>
            <w:r>
              <w:rPr>
                <w:rFonts w:asciiTheme="minorEastAsia" w:hAnsiTheme="minorEastAsia"/>
                <w:color w:val="000000" w:themeColor="text1"/>
                <w:sz w:val="24"/>
                <w:szCs w:val="24"/>
              </w:rPr>
              <w:t>0</w:t>
            </w:r>
            <w:r>
              <w:rPr>
                <w:rFonts w:hint="eastAsia" w:asciiTheme="minorEastAsia" w:hAnsiTheme="minorEastAsia"/>
                <w:color w:val="000000" w:themeColor="text1"/>
                <w:sz w:val="24"/>
                <w:szCs w:val="24"/>
              </w:rPr>
              <w:t>g</w:t>
            </w:r>
            <w:r>
              <w:rPr>
                <w:rFonts w:asciiTheme="minorEastAsia" w:hAnsiTheme="minorEastAsia"/>
                <w:color w:val="000000" w:themeColor="text1"/>
                <w:sz w:val="24"/>
                <w:szCs w:val="24"/>
              </w:rPr>
              <w:t>/L</w:t>
            </w:r>
            <w:r>
              <w:rPr>
                <w:rFonts w:hint="eastAsia" w:asciiTheme="minorEastAsia" w:hAnsiTheme="minorEastAsia"/>
                <w:color w:val="000000" w:themeColor="text1"/>
                <w:sz w:val="24"/>
                <w:szCs w:val="24"/>
              </w:rPr>
              <w:t>以下者，应采用等量换血方法；Hb在3</w:t>
            </w:r>
            <w:r>
              <w:rPr>
                <w:rFonts w:asciiTheme="minorEastAsia" w:hAnsiTheme="minorEastAsia"/>
                <w:color w:val="000000" w:themeColor="text1"/>
                <w:sz w:val="24"/>
                <w:szCs w:val="24"/>
              </w:rPr>
              <w:t>0</w:t>
            </w:r>
            <w:r>
              <w:rPr>
                <w:rFonts w:hint="eastAsia" w:asciiTheme="minorEastAsia" w:hAnsiTheme="minorEastAsia"/>
                <w:color w:val="000000" w:themeColor="text1"/>
                <w:sz w:val="24"/>
                <w:szCs w:val="24"/>
              </w:rPr>
              <w:t>g</w:t>
            </w:r>
            <w:r>
              <w:rPr>
                <w:rFonts w:asciiTheme="minorEastAsia" w:hAnsiTheme="minorEastAsia"/>
                <w:color w:val="000000" w:themeColor="text1"/>
                <w:sz w:val="24"/>
                <w:szCs w:val="24"/>
              </w:rPr>
              <w:t>～60/L</w:t>
            </w:r>
            <w:r>
              <w:rPr>
                <w:rFonts w:hint="eastAsia" w:asciiTheme="minorEastAsia" w:hAnsiTheme="minorEastAsia"/>
                <w:color w:val="000000" w:themeColor="text1"/>
                <w:sz w:val="24"/>
                <w:szCs w:val="24"/>
              </w:rPr>
              <w:t>者，每次可输注浓缩红细胞</w:t>
            </w:r>
            <w:r>
              <w:rPr>
                <w:rFonts w:asciiTheme="minorEastAsia" w:hAnsiTheme="minorEastAsia"/>
                <w:color w:val="000000" w:themeColor="text1"/>
                <w:sz w:val="24"/>
                <w:szCs w:val="24"/>
              </w:rPr>
              <w:t>4～6</w:t>
            </w:r>
            <w:r>
              <w:rPr>
                <w:rFonts w:hint="eastAsia" w:asciiTheme="minorEastAsia" w:hAnsiTheme="minorEastAsia"/>
                <w:color w:val="000000" w:themeColor="text1"/>
                <w:sz w:val="24"/>
                <w:szCs w:val="24"/>
              </w:rPr>
              <w:t>ml</w:t>
            </w:r>
            <w:r>
              <w:rPr>
                <w:rFonts w:asciiTheme="minorEastAsia" w:hAnsiTheme="minorEastAsia"/>
                <w:color w:val="000000" w:themeColor="text1"/>
                <w:sz w:val="24"/>
                <w:szCs w:val="24"/>
              </w:rPr>
              <w:t>/K</w:t>
            </w:r>
            <w:r>
              <w:rPr>
                <w:rFonts w:hint="eastAsia" w:asciiTheme="minorEastAsia" w:hAnsiTheme="minorEastAsia"/>
                <w:color w:val="000000" w:themeColor="text1"/>
                <w:sz w:val="24"/>
                <w:szCs w:val="24"/>
              </w:rPr>
              <w:t>g</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04～305</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FF0000"/>
                <w:sz w:val="24"/>
                <w:szCs w:val="24"/>
              </w:rPr>
            </w:pPr>
            <w:r>
              <w:rPr>
                <w:rFonts w:hint="eastAsia" w:asciiTheme="minorEastAsia" w:hAnsiTheme="minorEastAsia"/>
                <w:color w:val="FF0000"/>
                <w:sz w:val="24"/>
                <w:szCs w:val="24"/>
              </w:rPr>
              <w:t>脑梗死的改善脑血液循环治疗、脑保护治疗和预防的顺序、内容均有变动</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07～308</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FF0000"/>
                <w:sz w:val="24"/>
                <w:szCs w:val="24"/>
              </w:rPr>
            </w:pPr>
            <w:r>
              <w:rPr>
                <w:rFonts w:hint="eastAsia" w:asciiTheme="minorEastAsia" w:hAnsiTheme="minorEastAsia"/>
                <w:color w:val="FF0000"/>
                <w:sz w:val="24"/>
                <w:szCs w:val="24"/>
              </w:rPr>
              <w:t>癫痫全面性发作的临床表现均有变动</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08</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000000" w:themeColor="text1"/>
                <w:sz w:val="24"/>
                <w:szCs w:val="24"/>
              </w:rPr>
            </w:pPr>
            <w:r>
              <w:rPr>
                <w:rFonts w:hint="eastAsia" w:asciiTheme="minorEastAsia" w:hAnsiTheme="minorEastAsia"/>
                <w:color w:val="000000" w:themeColor="text1"/>
                <w:sz w:val="24"/>
                <w:szCs w:val="24"/>
              </w:rPr>
              <w:t>（三）癫痫持续状态变动：</w:t>
            </w:r>
            <w:r>
              <w:rPr>
                <w:rFonts w:hint="eastAsia" w:asciiTheme="minorEastAsia" w:hAnsiTheme="minorEastAsia"/>
                <w:color w:val="FF0000"/>
                <w:sz w:val="24"/>
                <w:szCs w:val="24"/>
              </w:rPr>
              <w:t>又频繁再发，或全面强直-阵挛性发作持续5分钟以上未能自行停止</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08～309</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FF0000"/>
                <w:sz w:val="24"/>
                <w:szCs w:val="24"/>
              </w:rPr>
            </w:pPr>
            <w:r>
              <w:rPr>
                <w:rFonts w:hint="eastAsia" w:asciiTheme="minorEastAsia" w:hAnsiTheme="minorEastAsia"/>
                <w:color w:val="FF0000"/>
                <w:sz w:val="24"/>
                <w:szCs w:val="24"/>
              </w:rPr>
              <w:t>癫痫的鉴别诊断有新增内容</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09</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000000" w:themeColor="text1"/>
                <w:sz w:val="24"/>
                <w:szCs w:val="24"/>
              </w:rPr>
            </w:pPr>
            <w:r>
              <w:rPr>
                <w:rFonts w:hint="eastAsia" w:asciiTheme="minorEastAsia" w:hAnsiTheme="minorEastAsia"/>
                <w:color w:val="000000" w:themeColor="text1"/>
                <w:sz w:val="24"/>
                <w:szCs w:val="24"/>
              </w:rPr>
              <w:t>转诊新增：或癫痫持续症状较前加重者需转诊</w:t>
            </w:r>
          </w:p>
        </w:tc>
      </w:tr>
      <w:tr>
        <w:tblPrEx>
          <w:tblCellMar>
            <w:top w:w="0" w:type="dxa"/>
            <w:left w:w="108" w:type="dxa"/>
            <w:bottom w:w="0" w:type="dxa"/>
            <w:right w:w="108" w:type="dxa"/>
          </w:tblCellMar>
        </w:tblPrEx>
        <w:trPr>
          <w:trHeight w:val="810"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10</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000000" w:themeColor="text1"/>
                <w:sz w:val="24"/>
                <w:szCs w:val="24"/>
              </w:rPr>
            </w:pPr>
            <w:r>
              <w:rPr>
                <w:rFonts w:asciiTheme="minorEastAsia" w:hAnsiTheme="minorEastAsia"/>
                <w:color w:val="000000" w:themeColor="text1"/>
                <w:sz w:val="24"/>
                <w:szCs w:val="24"/>
              </w:rPr>
              <w:t>4.</w:t>
            </w:r>
            <w:r>
              <w:rPr>
                <w:rFonts w:hint="eastAsia" w:asciiTheme="minorEastAsia" w:hAnsiTheme="minorEastAsia"/>
                <w:color w:val="000000" w:themeColor="text1"/>
                <w:sz w:val="24"/>
                <w:szCs w:val="24"/>
              </w:rPr>
              <w:t>意志和行为障碍新增：部分病人表现激越、冲动控制力减退等攻击暴力，少数病人有自杀企图；5</w:t>
            </w:r>
            <w:r>
              <w:rPr>
                <w:rFonts w:asciiTheme="minorEastAsia" w:hAnsiTheme="minorEastAsia"/>
                <w:color w:val="000000" w:themeColor="text1"/>
                <w:sz w:val="24"/>
                <w:szCs w:val="24"/>
              </w:rPr>
              <w:t>.</w:t>
            </w:r>
            <w:r>
              <w:rPr>
                <w:rFonts w:hint="eastAsia" w:asciiTheme="minorEastAsia" w:hAnsiTheme="minorEastAsia"/>
                <w:color w:val="000000" w:themeColor="text1"/>
                <w:sz w:val="24"/>
                <w:szCs w:val="24"/>
              </w:rPr>
              <w:t>认知功能障碍新增：认知功能与疾病的结局有关，是判断预后及制定治疗计划的一个重要参考指标</w:t>
            </w:r>
          </w:p>
        </w:tc>
      </w:tr>
      <w:tr>
        <w:tblPrEx>
          <w:tblCellMar>
            <w:top w:w="0" w:type="dxa"/>
            <w:left w:w="108" w:type="dxa"/>
            <w:bottom w:w="0" w:type="dxa"/>
            <w:right w:w="108" w:type="dxa"/>
          </w:tblCellMar>
        </w:tblPrEx>
        <w:trPr>
          <w:trHeight w:val="547"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402"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sz w:val="24"/>
                <w:szCs w:val="24"/>
              </w:rPr>
            </w:pPr>
          </w:p>
        </w:tc>
      </w:tr>
      <w:tr>
        <w:tblPrEx>
          <w:tblCellMar>
            <w:top w:w="0" w:type="dxa"/>
            <w:left w:w="108" w:type="dxa"/>
            <w:bottom w:w="0" w:type="dxa"/>
            <w:right w:w="108" w:type="dxa"/>
          </w:tblCellMar>
        </w:tblPrEx>
        <w:trPr>
          <w:trHeight w:val="858" w:hRule="atLeast"/>
        </w:trPr>
        <w:tc>
          <w:tcPr>
            <w:tcW w:w="1427" w:type="dxa"/>
            <w:tcBorders>
              <w:top w:val="nil"/>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P313</w:t>
            </w:r>
          </w:p>
        </w:tc>
        <w:tc>
          <w:tcPr>
            <w:tcW w:w="3402" w:type="dxa"/>
            <w:tcBorders>
              <w:top w:val="nil"/>
              <w:left w:val="nil"/>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髋关节受累少见</w:t>
            </w:r>
          </w:p>
        </w:tc>
        <w:tc>
          <w:tcPr>
            <w:tcW w:w="3969" w:type="dxa"/>
            <w:tcBorders>
              <w:top w:val="nil"/>
              <w:left w:val="nil"/>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删除</w:t>
            </w:r>
          </w:p>
        </w:tc>
      </w:tr>
      <w:tr>
        <w:tblPrEx>
          <w:tblCellMar>
            <w:top w:w="0" w:type="dxa"/>
            <w:left w:w="108" w:type="dxa"/>
            <w:bottom w:w="0" w:type="dxa"/>
            <w:right w:w="108" w:type="dxa"/>
          </w:tblCellMar>
        </w:tblPrEx>
        <w:trPr>
          <w:trHeight w:val="775" w:hRule="atLeast"/>
        </w:trPr>
        <w:tc>
          <w:tcPr>
            <w:tcW w:w="1427" w:type="dxa"/>
            <w:tcBorders>
              <w:top w:val="nil"/>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P317</w:t>
            </w:r>
          </w:p>
        </w:tc>
        <w:tc>
          <w:tcPr>
            <w:tcW w:w="3402" w:type="dxa"/>
            <w:tcBorders>
              <w:top w:val="nil"/>
              <w:left w:val="nil"/>
              <w:bottom w:val="single" w:color="auto" w:sz="4" w:space="0"/>
              <w:right w:val="single" w:color="auto" w:sz="4" w:space="0"/>
            </w:tcBorders>
          </w:tcPr>
          <w:p>
            <w:pPr>
              <w:spacing w:line="360" w:lineRule="auto"/>
              <w:rPr>
                <w:rFonts w:asciiTheme="minorEastAsia" w:hAnsiTheme="minorEastAsia"/>
                <w:color w:val="FF0000"/>
                <w:sz w:val="24"/>
                <w:szCs w:val="24"/>
              </w:rPr>
            </w:pPr>
          </w:p>
        </w:tc>
        <w:tc>
          <w:tcPr>
            <w:tcW w:w="3969" w:type="dxa"/>
            <w:tcBorders>
              <w:top w:val="nil"/>
              <w:left w:val="nil"/>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先天性心脏病鉴别诊断</w:t>
            </w:r>
            <w:r>
              <w:rPr>
                <w:rFonts w:asciiTheme="minorEastAsia" w:hAnsiTheme="minorEastAsia"/>
                <w:color w:val="FF0000"/>
                <w:sz w:val="24"/>
                <w:szCs w:val="24"/>
              </w:rPr>
              <w:t>房间隔缺损杂音部位</w:t>
            </w:r>
            <w:r>
              <w:rPr>
                <w:rFonts w:hint="eastAsia" w:asciiTheme="minorEastAsia" w:hAnsiTheme="minorEastAsia"/>
                <w:sz w:val="24"/>
                <w:szCs w:val="24"/>
              </w:rPr>
              <w:t>改</w:t>
            </w:r>
            <w:r>
              <w:rPr>
                <w:rFonts w:asciiTheme="minorEastAsia" w:hAnsiTheme="minorEastAsia"/>
                <w:sz w:val="24"/>
                <w:szCs w:val="24"/>
              </w:rPr>
              <w:t>动</w:t>
            </w:r>
            <w:r>
              <w:rPr>
                <w:rFonts w:hint="eastAsia" w:asciiTheme="minorEastAsia" w:hAnsiTheme="minorEastAsia"/>
                <w:sz w:val="24"/>
                <w:szCs w:val="24"/>
              </w:rPr>
              <w:t>，</w:t>
            </w:r>
            <w:r>
              <w:rPr>
                <w:rFonts w:asciiTheme="minorEastAsia" w:hAnsiTheme="minorEastAsia"/>
                <w:color w:val="FF0000"/>
                <w:sz w:val="24"/>
                <w:szCs w:val="24"/>
              </w:rPr>
              <w:t>杂音的性质和响度</w:t>
            </w:r>
            <w:r>
              <w:rPr>
                <w:rFonts w:hint="eastAsia" w:asciiTheme="minorEastAsia" w:hAnsiTheme="minorEastAsia"/>
                <w:sz w:val="24"/>
                <w:szCs w:val="24"/>
              </w:rPr>
              <w:t>改</w:t>
            </w:r>
            <w:r>
              <w:rPr>
                <w:rFonts w:asciiTheme="minorEastAsia" w:hAnsiTheme="minorEastAsia"/>
                <w:sz w:val="24"/>
                <w:szCs w:val="24"/>
              </w:rPr>
              <w:t>动</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P318</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增加</w:t>
            </w:r>
            <w:r>
              <w:rPr>
                <w:rFonts w:hint="eastAsia" w:asciiTheme="minorEastAsia" w:hAnsiTheme="minorEastAsia"/>
                <w:sz w:val="24"/>
                <w:szCs w:val="24"/>
              </w:rPr>
              <w:t>“肠由饮食因素及肠道外感染引起”</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酸中毒</w:t>
            </w:r>
            <w:r>
              <w:rPr>
                <w:rFonts w:hint="eastAsia" w:asciiTheme="minorEastAsia" w:hAnsiTheme="minorEastAsia"/>
                <w:sz w:val="24"/>
                <w:szCs w:val="24"/>
              </w:rPr>
              <w:t>，</w:t>
            </w:r>
            <w:r>
              <w:rPr>
                <w:rFonts w:asciiTheme="minorEastAsia" w:hAnsiTheme="minorEastAsia"/>
                <w:sz w:val="24"/>
                <w:szCs w:val="24"/>
              </w:rPr>
              <w:t>唇红</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酸中毒</w:t>
            </w:r>
            <w:r>
              <w:rPr>
                <w:rFonts w:hint="eastAsia" w:asciiTheme="minorEastAsia" w:hAnsiTheme="minorEastAsia"/>
                <w:sz w:val="24"/>
                <w:szCs w:val="24"/>
              </w:rPr>
              <w:t>，</w:t>
            </w:r>
            <w:r>
              <w:rPr>
                <w:rFonts w:asciiTheme="minorEastAsia" w:hAnsiTheme="minorEastAsia"/>
                <w:sz w:val="24"/>
                <w:szCs w:val="24"/>
              </w:rPr>
              <w:t>唇樱红</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P319</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轻度脱水按</w:t>
            </w:r>
            <w:r>
              <w:rPr>
                <w:rFonts w:hint="eastAsia" w:asciiTheme="minorEastAsia" w:hAnsiTheme="minorEastAsia"/>
                <w:sz w:val="24"/>
                <w:szCs w:val="24"/>
              </w:rPr>
              <w:t>50～80ml/kg、中度脱水80～100ml/kg给予，累计损失量宜在8～12小时内给完</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急性腹泻治疗改动</w:t>
            </w:r>
            <w:r>
              <w:rPr>
                <w:rFonts w:hint="eastAsia" w:asciiTheme="minorEastAsia" w:hAnsiTheme="minorEastAsia"/>
                <w:sz w:val="24"/>
                <w:szCs w:val="24"/>
              </w:rPr>
              <w:t>：</w:t>
            </w:r>
            <w:r>
              <w:rPr>
                <w:rFonts w:asciiTheme="minorEastAsia" w:hAnsiTheme="minorEastAsia"/>
                <w:sz w:val="24"/>
                <w:szCs w:val="24"/>
              </w:rPr>
              <w:t>轻度脱水按</w:t>
            </w:r>
            <w:r>
              <w:rPr>
                <w:rFonts w:hint="eastAsia" w:asciiTheme="minorEastAsia" w:hAnsiTheme="minorEastAsia"/>
                <w:color w:val="FF0000"/>
                <w:sz w:val="24"/>
                <w:szCs w:val="24"/>
              </w:rPr>
              <w:t>50ml/kg</w:t>
            </w:r>
            <w:r>
              <w:rPr>
                <w:rFonts w:hint="eastAsia" w:asciiTheme="minorEastAsia" w:hAnsiTheme="minorEastAsia"/>
                <w:sz w:val="24"/>
                <w:szCs w:val="24"/>
              </w:rPr>
              <w:t>、中度脱水</w:t>
            </w:r>
            <w:r>
              <w:rPr>
                <w:rFonts w:hint="eastAsia" w:asciiTheme="minorEastAsia" w:hAnsiTheme="minorEastAsia"/>
                <w:color w:val="FF0000"/>
                <w:sz w:val="24"/>
                <w:szCs w:val="24"/>
              </w:rPr>
              <w:t>100 ml/kg</w:t>
            </w:r>
            <w:r>
              <w:rPr>
                <w:rFonts w:hint="eastAsia" w:asciiTheme="minorEastAsia" w:hAnsiTheme="minorEastAsia"/>
                <w:sz w:val="24"/>
                <w:szCs w:val="24"/>
              </w:rPr>
              <w:t>给予，每次10～15ml，宜在</w:t>
            </w:r>
            <w:r>
              <w:rPr>
                <w:rFonts w:hint="eastAsia" w:asciiTheme="minorEastAsia" w:hAnsiTheme="minorEastAsia"/>
                <w:color w:val="FF0000"/>
                <w:sz w:val="24"/>
                <w:szCs w:val="24"/>
              </w:rPr>
              <w:t>4</w:t>
            </w:r>
            <w:r>
              <w:rPr>
                <w:rFonts w:hint="eastAsia" w:asciiTheme="minorEastAsia" w:hAnsiTheme="minorEastAsia"/>
                <w:sz w:val="24"/>
                <w:szCs w:val="24"/>
              </w:rPr>
              <w:t>小时内给完</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P321</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严重循环充血的治疗</w:t>
            </w:r>
            <w:r>
              <w:rPr>
                <w:rFonts w:hint="eastAsia" w:asciiTheme="minorEastAsia" w:hAnsiTheme="minorEastAsia"/>
                <w:sz w:val="24"/>
                <w:szCs w:val="24"/>
              </w:rPr>
              <w:t>，</w:t>
            </w:r>
            <w:r>
              <w:rPr>
                <w:rFonts w:asciiTheme="minorEastAsia" w:hAnsiTheme="minorEastAsia"/>
                <w:sz w:val="24"/>
                <w:szCs w:val="24"/>
              </w:rPr>
              <w:t>删除</w:t>
            </w:r>
            <w:r>
              <w:rPr>
                <w:rFonts w:hint="eastAsia" w:asciiTheme="minorEastAsia" w:hAnsiTheme="minorEastAsia"/>
                <w:sz w:val="24"/>
                <w:szCs w:val="24"/>
              </w:rPr>
              <w:t>（2）酚妥拉明一条。</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P323</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50～125μg（2000～4000）</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佝偻病治疗补充维生素</w:t>
            </w:r>
            <w:r>
              <w:rPr>
                <w:rFonts w:hint="eastAsia" w:asciiTheme="minorEastAsia" w:hAnsiTheme="minorEastAsia"/>
                <w:sz w:val="24"/>
                <w:szCs w:val="24"/>
              </w:rPr>
              <w:t>D剂量每日50～125μg</w:t>
            </w:r>
            <w:r>
              <w:rPr>
                <w:rFonts w:hint="eastAsia" w:asciiTheme="minorEastAsia" w:hAnsiTheme="minorEastAsia"/>
                <w:color w:val="FF0000"/>
                <w:sz w:val="24"/>
                <w:szCs w:val="24"/>
              </w:rPr>
              <w:t>（2000～5000IU）改</w:t>
            </w:r>
            <w:r>
              <w:rPr>
                <w:rFonts w:hint="eastAsia" w:asciiTheme="minorEastAsia" w:hAnsiTheme="minorEastAsia"/>
                <w:sz w:val="24"/>
                <w:szCs w:val="24"/>
              </w:rPr>
              <w:t>动</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P324</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生理性黄疸</w:t>
            </w:r>
            <w:r>
              <w:rPr>
                <w:rFonts w:hint="eastAsia" w:asciiTheme="minorEastAsia" w:hAnsiTheme="minorEastAsia"/>
                <w:sz w:val="24"/>
                <w:szCs w:val="24"/>
              </w:rPr>
              <w:t>“”50%～60%的足月儿和80%的早产儿可出现生理性黄疸</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生理性黄疸</w:t>
            </w:r>
            <w:r>
              <w:rPr>
                <w:rFonts w:hint="eastAsia" w:asciiTheme="minorEastAsia" w:hAnsiTheme="minorEastAsia"/>
                <w:sz w:val="24"/>
                <w:szCs w:val="24"/>
              </w:rPr>
              <w:t>：</w:t>
            </w:r>
            <w:r>
              <w:rPr>
                <w:rFonts w:hint="eastAsia" w:asciiTheme="minorEastAsia" w:hAnsiTheme="minorEastAsia"/>
                <w:color w:val="FF0000"/>
                <w:sz w:val="24"/>
                <w:szCs w:val="24"/>
              </w:rPr>
              <w:t>80%</w:t>
            </w:r>
            <w:r>
              <w:rPr>
                <w:rFonts w:hint="eastAsia" w:asciiTheme="minorEastAsia" w:hAnsiTheme="minorEastAsia"/>
                <w:sz w:val="24"/>
                <w:szCs w:val="24"/>
              </w:rPr>
              <w:t>的足月儿和</w:t>
            </w:r>
            <w:r>
              <w:rPr>
                <w:rFonts w:hint="eastAsia" w:asciiTheme="minorEastAsia" w:hAnsiTheme="minorEastAsia"/>
                <w:color w:val="FF0000"/>
                <w:sz w:val="24"/>
                <w:szCs w:val="24"/>
              </w:rPr>
              <w:t>绝大多数</w:t>
            </w:r>
            <w:r>
              <w:rPr>
                <w:rFonts w:hint="eastAsia" w:asciiTheme="minorEastAsia" w:hAnsiTheme="minorEastAsia"/>
                <w:sz w:val="24"/>
                <w:szCs w:val="24"/>
              </w:rPr>
              <w:t>的早产儿可出现生理性黄疸改动</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P325</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小儿热性惊厥</w:t>
            </w:r>
            <w:r>
              <w:rPr>
                <w:rFonts w:hint="eastAsia" w:asciiTheme="minorEastAsia" w:hAnsiTheme="minorEastAsia"/>
                <w:sz w:val="24"/>
                <w:szCs w:val="24"/>
              </w:rPr>
              <w:t>：儿童期患病率为3%～4%</w:t>
            </w:r>
            <w:r>
              <w:rPr>
                <w:rFonts w:asciiTheme="minorEastAsia" w:hAnsiTheme="minorEastAsia"/>
                <w:sz w:val="24"/>
                <w:szCs w:val="24"/>
              </w:rPr>
              <w:t xml:space="preserve"> </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FF0000"/>
                <w:sz w:val="24"/>
                <w:szCs w:val="24"/>
              </w:rPr>
            </w:pPr>
            <w:r>
              <w:rPr>
                <w:rFonts w:asciiTheme="minorEastAsia" w:hAnsiTheme="minorEastAsia"/>
                <w:sz w:val="24"/>
                <w:szCs w:val="24"/>
              </w:rPr>
              <w:t>小儿热性惊厥</w:t>
            </w:r>
            <w:r>
              <w:rPr>
                <w:rFonts w:hint="eastAsia" w:asciiTheme="minorEastAsia" w:hAnsiTheme="minorEastAsia"/>
                <w:sz w:val="24"/>
                <w:szCs w:val="24"/>
              </w:rPr>
              <w:t>：儿童期患病率为</w:t>
            </w:r>
            <w:r>
              <w:rPr>
                <w:rFonts w:hint="eastAsia" w:asciiTheme="minorEastAsia" w:hAnsiTheme="minorEastAsia"/>
                <w:color w:val="FF0000"/>
                <w:sz w:val="24"/>
                <w:szCs w:val="24"/>
              </w:rPr>
              <w:t>2%～5%</w:t>
            </w:r>
            <w:r>
              <w:rPr>
                <w:rFonts w:hint="eastAsia" w:asciiTheme="minorEastAsia" w:hAnsiTheme="minorEastAsia"/>
                <w:sz w:val="24"/>
                <w:szCs w:val="24"/>
              </w:rPr>
              <w:t>改动</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复杂型热性惊厥</w:t>
            </w:r>
            <w:r>
              <w:rPr>
                <w:rFonts w:hint="eastAsia" w:asciiTheme="minorEastAsia" w:hAnsiTheme="minorEastAsia"/>
                <w:sz w:val="24"/>
                <w:szCs w:val="24"/>
              </w:rPr>
              <w:t>：3.一次惊厥发作持续在15分钟以上</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复杂型热性惊厥</w:t>
            </w:r>
            <w:r>
              <w:rPr>
                <w:rFonts w:hint="eastAsia" w:asciiTheme="minorEastAsia" w:hAnsiTheme="minorEastAsia"/>
                <w:sz w:val="24"/>
                <w:szCs w:val="24"/>
              </w:rPr>
              <w:t>：3.一次惊厥发作持续在</w:t>
            </w:r>
            <w:r>
              <w:rPr>
                <w:rFonts w:hint="eastAsia" w:asciiTheme="minorEastAsia" w:hAnsiTheme="minorEastAsia"/>
                <w:color w:val="FF0000"/>
                <w:sz w:val="24"/>
                <w:szCs w:val="24"/>
              </w:rPr>
              <w:t>10分钟</w:t>
            </w:r>
            <w:r>
              <w:rPr>
                <w:rFonts w:hint="eastAsia" w:asciiTheme="minorEastAsia" w:hAnsiTheme="minorEastAsia"/>
                <w:sz w:val="24"/>
                <w:szCs w:val="24"/>
              </w:rPr>
              <w:t>以上改动</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P327</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增加一般治疗：卧床休息，注意皮肤和眼、鼻、口腔清洁</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P327～328</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color w:val="FF0000"/>
                <w:sz w:val="24"/>
                <w:szCs w:val="24"/>
              </w:rPr>
            </w:pPr>
            <w:r>
              <w:rPr>
                <w:rFonts w:asciiTheme="minorEastAsia" w:hAnsiTheme="minorEastAsia"/>
                <w:sz w:val="24"/>
                <w:szCs w:val="24"/>
              </w:rPr>
              <w:t>水痘临床表现</w:t>
            </w:r>
            <w:r>
              <w:rPr>
                <w:rFonts w:hint="eastAsia" w:asciiTheme="minorEastAsia" w:hAnsiTheme="minorEastAsia"/>
                <w:sz w:val="24"/>
                <w:szCs w:val="24"/>
              </w:rPr>
              <w:t>：②水痘发疹经历</w:t>
            </w:r>
            <w:r>
              <w:rPr>
                <w:rFonts w:hint="eastAsia" w:asciiTheme="minorEastAsia" w:hAnsiTheme="minorEastAsia"/>
                <w:color w:val="FF0000"/>
                <w:sz w:val="24"/>
                <w:szCs w:val="24"/>
              </w:rPr>
              <w:t>红色斑疹</w:t>
            </w:r>
            <w:r>
              <w:rPr>
                <w:rFonts w:hint="eastAsia" w:asciiTheme="minorEastAsia" w:hAnsiTheme="minorEastAsia"/>
                <w:sz w:val="24"/>
                <w:szCs w:val="24"/>
              </w:rPr>
              <w:t>、丘疹，继之变为透明饱满的水疱，</w:t>
            </w:r>
            <w:r>
              <w:rPr>
                <w:rFonts w:hint="eastAsia" w:asciiTheme="minorEastAsia" w:hAnsiTheme="minorEastAsia"/>
                <w:color w:val="FF0000"/>
                <w:sz w:val="24"/>
                <w:szCs w:val="24"/>
              </w:rPr>
              <w:t>24小时后</w:t>
            </w:r>
            <w:r>
              <w:rPr>
                <w:rFonts w:hint="eastAsia" w:asciiTheme="minorEastAsia" w:hAnsiTheme="minorEastAsia"/>
                <w:sz w:val="24"/>
                <w:szCs w:val="24"/>
              </w:rPr>
              <w:t>渐转浑浊</w:t>
            </w:r>
            <w:r>
              <w:rPr>
                <w:rFonts w:hint="eastAsia" w:asciiTheme="minorEastAsia" w:hAnsiTheme="minorEastAsia"/>
                <w:color w:val="FF0000"/>
                <w:sz w:val="24"/>
                <w:szCs w:val="24"/>
              </w:rPr>
              <w:t>并呈中央凹陷</w:t>
            </w:r>
            <w:r>
              <w:rPr>
                <w:rFonts w:hint="eastAsia" w:asciiTheme="minorEastAsia" w:hAnsiTheme="minorEastAsia"/>
                <w:sz w:val="24"/>
                <w:szCs w:val="24"/>
              </w:rPr>
              <w:t>改动</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新增</w:t>
            </w:r>
            <w:r>
              <w:rPr>
                <w:rFonts w:hint="eastAsia" w:asciiTheme="minorEastAsia" w:hAnsiTheme="minorEastAsia"/>
                <w:sz w:val="24"/>
                <w:szCs w:val="24"/>
              </w:rPr>
              <w:t>“</w:t>
            </w:r>
            <w:r>
              <w:rPr>
                <w:rFonts w:asciiTheme="minorEastAsia" w:hAnsiTheme="minorEastAsia"/>
                <w:sz w:val="24"/>
                <w:szCs w:val="24"/>
              </w:rPr>
              <w:t>全身症状相对较轻</w:t>
            </w:r>
            <w:r>
              <w:rPr>
                <w:rFonts w:hint="eastAsia" w:asciiTheme="minorEastAsia" w:hAnsiTheme="minorEastAsia"/>
                <w:sz w:val="24"/>
                <w:szCs w:val="24"/>
              </w:rPr>
              <w:t>，</w:t>
            </w:r>
            <w:r>
              <w:rPr>
                <w:rFonts w:asciiTheme="minorEastAsia" w:hAnsiTheme="minorEastAsia"/>
                <w:sz w:val="24"/>
                <w:szCs w:val="24"/>
              </w:rPr>
              <w:t>病程经历约</w:t>
            </w:r>
            <w:r>
              <w:rPr>
                <w:rFonts w:hint="eastAsia" w:asciiTheme="minorEastAsia" w:hAnsiTheme="minorEastAsia"/>
                <w:sz w:val="24"/>
                <w:szCs w:val="24"/>
              </w:rPr>
              <w:t>1周即可痊愈，不留瘢痕。”</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先天性水痘新增</w:t>
            </w:r>
            <w:r>
              <w:rPr>
                <w:rFonts w:hint="eastAsia" w:asciiTheme="minorEastAsia" w:hAnsiTheme="minorEastAsia"/>
                <w:sz w:val="24"/>
                <w:szCs w:val="24"/>
              </w:rPr>
              <w:t>“病死率可达25%～30%”</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治疗原则与转诊新增</w:t>
            </w:r>
            <w:r>
              <w:rPr>
                <w:rFonts w:hint="eastAsia" w:asciiTheme="minorEastAsia" w:hAnsiTheme="minorEastAsia"/>
                <w:sz w:val="24"/>
                <w:szCs w:val="24"/>
              </w:rPr>
              <w:t>“水痘是自限性疾病，无合并症时以一般治疗和对症处理为主”</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风疹</w:t>
            </w:r>
            <w:r>
              <w:rPr>
                <w:rFonts w:hint="eastAsia" w:asciiTheme="minorEastAsia" w:hAnsiTheme="minorEastAsia"/>
                <w:sz w:val="24"/>
                <w:szCs w:val="24"/>
              </w:rPr>
              <w:t>1.临床表现新增“1～2天”</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猩红热</w:t>
            </w:r>
            <w:r>
              <w:rPr>
                <w:rFonts w:hint="eastAsia" w:asciiTheme="minorEastAsia" w:hAnsiTheme="minorEastAsia"/>
                <w:sz w:val="24"/>
                <w:szCs w:val="24"/>
              </w:rPr>
              <w:t>1）前驱期新增“吞咽痛”</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猩红热</w:t>
            </w:r>
            <w:r>
              <w:rPr>
                <w:rFonts w:hint="eastAsia" w:asciiTheme="minorEastAsia" w:hAnsiTheme="minorEastAsia"/>
                <w:sz w:val="24"/>
                <w:szCs w:val="24"/>
              </w:rPr>
              <w:t>2.诊断新增“结合当地流行病学史”</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猩红热</w:t>
            </w:r>
            <w:r>
              <w:rPr>
                <w:rFonts w:hint="eastAsia" w:asciiTheme="minorEastAsia" w:hAnsiTheme="minorEastAsia"/>
                <w:sz w:val="24"/>
                <w:szCs w:val="24"/>
              </w:rPr>
              <w:t>3.治疗原则与转诊新增“（1）一般治疗：加强护理，保持皮肤和口腔卫生，充分休息”</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P342</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常见结膜炎表格免疫性</w:t>
            </w:r>
            <w:r>
              <w:rPr>
                <w:rFonts w:hint="eastAsia" w:asciiTheme="minorEastAsia" w:hAnsiTheme="minorEastAsia"/>
                <w:sz w:val="24"/>
                <w:szCs w:val="24"/>
              </w:rPr>
              <w:t>（过敏性）结膜炎治疗</w:t>
            </w:r>
            <w:r>
              <w:rPr>
                <w:rFonts w:asciiTheme="minorEastAsia" w:hAnsiTheme="minorEastAsia"/>
                <w:sz w:val="24"/>
                <w:szCs w:val="24"/>
              </w:rPr>
              <w:t>新增</w:t>
            </w:r>
            <w:r>
              <w:rPr>
                <w:rFonts w:hint="eastAsia" w:asciiTheme="minorEastAsia" w:hAnsiTheme="minorEastAsia"/>
                <w:sz w:val="24"/>
                <w:szCs w:val="24"/>
              </w:rPr>
              <w:t>“非甾体抗炎药”</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P343</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化脓性中耳炎治疗与预防新增</w:t>
            </w:r>
            <w:r>
              <w:rPr>
                <w:rFonts w:hint="eastAsia" w:asciiTheme="minorEastAsia" w:hAnsiTheme="minorEastAsia"/>
                <w:sz w:val="24"/>
                <w:szCs w:val="24"/>
              </w:rPr>
              <w:t>“根据常见致病菌及早应用足量的广谱抗生素”</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P346</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接触性皮炎概述物质</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接触性皮炎概述</w:t>
            </w:r>
            <w:r>
              <w:rPr>
                <w:rFonts w:asciiTheme="minorEastAsia" w:hAnsiTheme="minorEastAsia"/>
                <w:color w:val="FF0000"/>
                <w:sz w:val="24"/>
                <w:szCs w:val="24"/>
              </w:rPr>
              <w:t>刺激物或致敏物</w:t>
            </w:r>
            <w:r>
              <w:rPr>
                <w:rFonts w:asciiTheme="minorEastAsia" w:hAnsiTheme="minorEastAsia"/>
                <w:sz w:val="24"/>
                <w:szCs w:val="24"/>
              </w:rPr>
              <w:t>改动</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P347</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湿疹概新增</w:t>
            </w:r>
            <w:r>
              <w:rPr>
                <w:rFonts w:hint="eastAsia" w:asciiTheme="minorEastAsia" w:hAnsiTheme="minorEastAsia"/>
                <w:sz w:val="24"/>
                <w:szCs w:val="24"/>
              </w:rPr>
              <w:t>“内分泌功能失调”、“环境因素（日光、寒冷、潮湿等）”</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P350</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体癣临床表现新增</w:t>
            </w:r>
            <w:r>
              <w:rPr>
                <w:rFonts w:hint="eastAsia" w:asciiTheme="minorEastAsia" w:hAnsiTheme="minorEastAsia"/>
                <w:sz w:val="24"/>
                <w:szCs w:val="24"/>
              </w:rPr>
              <w:t>“皮损好发于面部、躯干及四肢近端”</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P351</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疖治疗原则</w:t>
            </w:r>
            <w:r>
              <w:rPr>
                <w:rFonts w:hint="eastAsia" w:asciiTheme="minorEastAsia" w:hAnsiTheme="minorEastAsia"/>
                <w:sz w:val="24"/>
                <w:szCs w:val="24"/>
              </w:rPr>
              <w:t>2.药物应用</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疖治疗原则</w:t>
            </w:r>
            <w:r>
              <w:rPr>
                <w:rFonts w:hint="eastAsia" w:asciiTheme="minorEastAsia" w:hAnsiTheme="minorEastAsia"/>
                <w:sz w:val="24"/>
                <w:szCs w:val="24"/>
              </w:rPr>
              <w:t>“2.全身治疗”改动</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P354</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急性乳腺炎治疗原则与预防</w:t>
            </w:r>
            <w:r>
              <w:rPr>
                <w:rFonts w:hint="eastAsia" w:asciiTheme="minorEastAsia" w:hAnsiTheme="minorEastAsia"/>
                <w:sz w:val="24"/>
                <w:szCs w:val="24"/>
              </w:rPr>
              <w:t>：</w:t>
            </w:r>
            <w:r>
              <w:rPr>
                <w:rFonts w:asciiTheme="minorEastAsia" w:hAnsiTheme="minorEastAsia"/>
                <w:sz w:val="24"/>
                <w:szCs w:val="24"/>
              </w:rPr>
              <w:t>应停止哺乳</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急性乳腺炎治疗原则与预防</w:t>
            </w:r>
            <w:r>
              <w:rPr>
                <w:rFonts w:hint="eastAsia" w:asciiTheme="minorEastAsia" w:hAnsiTheme="minorEastAsia"/>
                <w:sz w:val="24"/>
                <w:szCs w:val="24"/>
              </w:rPr>
              <w:t>：</w:t>
            </w:r>
            <w:r>
              <w:rPr>
                <w:rFonts w:hint="eastAsia" w:asciiTheme="minorEastAsia" w:hAnsiTheme="minorEastAsia"/>
                <w:color w:val="FF0000"/>
                <w:sz w:val="24"/>
                <w:szCs w:val="24"/>
              </w:rPr>
              <w:t>一般</w:t>
            </w:r>
            <w:r>
              <w:rPr>
                <w:rFonts w:asciiTheme="minorEastAsia" w:hAnsiTheme="minorEastAsia"/>
                <w:color w:val="FF0000"/>
                <w:sz w:val="24"/>
                <w:szCs w:val="24"/>
              </w:rPr>
              <w:t>不停止哺乳</w:t>
            </w:r>
            <w:r>
              <w:rPr>
                <w:rFonts w:hint="eastAsia" w:asciiTheme="minorEastAsia" w:hAnsiTheme="minorEastAsia"/>
                <w:color w:val="FF0000"/>
                <w:sz w:val="24"/>
                <w:szCs w:val="24"/>
              </w:rPr>
              <w:t>，</w:t>
            </w:r>
            <w:r>
              <w:rPr>
                <w:rFonts w:asciiTheme="minorEastAsia" w:hAnsiTheme="minorEastAsia"/>
                <w:color w:val="FF0000"/>
                <w:sz w:val="24"/>
                <w:szCs w:val="24"/>
              </w:rPr>
              <w:t>但病侧乳房应停止哺乳</w:t>
            </w:r>
            <w:r>
              <w:rPr>
                <w:rFonts w:asciiTheme="minorEastAsia" w:hAnsiTheme="minorEastAsia"/>
                <w:sz w:val="24"/>
                <w:szCs w:val="24"/>
              </w:rPr>
              <w:t>改动</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P359</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肺癌治疗新增</w:t>
            </w:r>
            <w:r>
              <w:rPr>
                <w:rFonts w:hint="eastAsia" w:asciiTheme="minorEastAsia" w:hAnsiTheme="minorEastAsia"/>
                <w:sz w:val="24"/>
                <w:szCs w:val="24"/>
              </w:rPr>
              <w:t>“靶向治疗”</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P402</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急性酒精中毒程度临床分级</w:t>
            </w:r>
            <w:r>
              <w:rPr>
                <w:rFonts w:hint="eastAsia" w:asciiTheme="minorEastAsia" w:hAnsiTheme="minorEastAsia"/>
                <w:sz w:val="24"/>
                <w:szCs w:val="24"/>
              </w:rPr>
              <w:t>⑥新增“</w:t>
            </w:r>
            <w:r>
              <w:rPr>
                <w:rFonts w:hint="eastAsia" w:asciiTheme="minorEastAsia" w:hAnsiTheme="minorEastAsia"/>
                <w:color w:val="FF0000"/>
                <w:sz w:val="24"/>
                <w:szCs w:val="24"/>
              </w:rPr>
              <w:t>室性心动过速、心室颤动等</w:t>
            </w:r>
            <w:r>
              <w:rPr>
                <w:rFonts w:hint="eastAsia" w:asciiTheme="minorEastAsia" w:hAnsiTheme="minorEastAsia"/>
                <w:sz w:val="24"/>
                <w:szCs w:val="24"/>
              </w:rPr>
              <w:t>”</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P414</w:t>
            </w: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明确为毒蛇咬伤的救治</w:t>
            </w:r>
            <w:r>
              <w:rPr>
                <w:rFonts w:hint="eastAsia" w:asciiTheme="minorEastAsia" w:hAnsiTheme="minorEastAsia"/>
                <w:sz w:val="24"/>
                <w:szCs w:val="24"/>
              </w:rPr>
              <w:t>（1）绑扎法立即用布条类</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明确为毒蛇咬伤的救治</w:t>
            </w:r>
            <w:r>
              <w:rPr>
                <w:rFonts w:hint="eastAsia" w:asciiTheme="minorEastAsia" w:hAnsiTheme="minorEastAsia"/>
                <w:sz w:val="24"/>
                <w:szCs w:val="24"/>
              </w:rPr>
              <w:t>（1）绑扎法</w:t>
            </w:r>
            <w:r>
              <w:rPr>
                <w:rFonts w:hint="eastAsia" w:asciiTheme="minorEastAsia" w:hAnsiTheme="minorEastAsia"/>
                <w:color w:val="FF0000"/>
                <w:sz w:val="24"/>
                <w:szCs w:val="24"/>
              </w:rPr>
              <w:t>争取在5分钟内</w:t>
            </w:r>
            <w:r>
              <w:rPr>
                <w:rFonts w:hint="eastAsia" w:asciiTheme="minorEastAsia" w:hAnsiTheme="minorEastAsia"/>
                <w:sz w:val="24"/>
                <w:szCs w:val="24"/>
              </w:rPr>
              <w:t>用布条类改动</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新增</w:t>
            </w:r>
            <w:r>
              <w:rPr>
                <w:rFonts w:hint="eastAsia" w:asciiTheme="minorEastAsia" w:hAnsiTheme="minorEastAsia"/>
                <w:sz w:val="24"/>
                <w:szCs w:val="24"/>
              </w:rPr>
              <w:t>“结扎紧度以阻滞淋巴、静脉回流即可”</w:t>
            </w:r>
          </w:p>
        </w:tc>
      </w:tr>
      <w:tr>
        <w:tblPrEx>
          <w:tblCellMar>
            <w:top w:w="0" w:type="dxa"/>
            <w:left w:w="108" w:type="dxa"/>
            <w:bottom w:w="0" w:type="dxa"/>
            <w:right w:w="108" w:type="dxa"/>
          </w:tblCellMar>
        </w:tblPrEx>
        <w:trPr>
          <w:trHeight w:val="821" w:hRule="atLeast"/>
        </w:trPr>
        <w:tc>
          <w:tcPr>
            <w:tcW w:w="1427"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3402"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2.促进蛇毒的排出及破坏每吸一次要作清水漱口</w:t>
            </w:r>
          </w:p>
        </w:tc>
        <w:tc>
          <w:tcPr>
            <w:tcW w:w="3969"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2.促进蛇毒的排出及破坏“每吸一次后要立即吐出，并用清水漱口，以免发生中毒”</w:t>
            </w:r>
          </w:p>
        </w:tc>
      </w:tr>
    </w:tbl>
    <w:p>
      <w:pPr>
        <w:spacing w:line="360" w:lineRule="auto"/>
        <w:rPr>
          <w:rFonts w:hint="eastAsia" w:asciiTheme="minorEastAsia" w:hAnsiTheme="minorEastAsia"/>
          <w:sz w:val="24"/>
          <w:szCs w:val="24"/>
        </w:rPr>
      </w:pPr>
    </w:p>
    <w:p>
      <w:pPr>
        <w:spacing w:line="360" w:lineRule="auto"/>
        <w:jc w:val="center"/>
        <w:rPr>
          <w:rFonts w:asciiTheme="minorEastAsia" w:hAnsiTheme="minorEastAsia"/>
          <w:b/>
          <w:sz w:val="24"/>
          <w:szCs w:val="24"/>
        </w:rPr>
      </w:pPr>
      <w:r>
        <w:rPr>
          <w:rFonts w:hint="eastAsia" w:asciiTheme="minorEastAsia" w:hAnsiTheme="minorEastAsia"/>
          <w:b/>
          <w:sz w:val="24"/>
          <w:szCs w:val="24"/>
        </w:rPr>
        <w:t>2021年乡村全科助理医师西医技能变动</w:t>
      </w:r>
    </w:p>
    <w:tbl>
      <w:tblPr>
        <w:tblStyle w:val="4"/>
        <w:tblW w:w="8940" w:type="dxa"/>
        <w:tblInd w:w="99" w:type="dxa"/>
        <w:tblLayout w:type="autofit"/>
        <w:tblCellMar>
          <w:top w:w="0" w:type="dxa"/>
          <w:left w:w="108" w:type="dxa"/>
          <w:bottom w:w="0" w:type="dxa"/>
          <w:right w:w="108" w:type="dxa"/>
        </w:tblCellMar>
      </w:tblPr>
      <w:tblGrid>
        <w:gridCol w:w="1176"/>
        <w:gridCol w:w="21"/>
        <w:gridCol w:w="2623"/>
        <w:gridCol w:w="5120"/>
      </w:tblGrid>
      <w:tr>
        <w:tblPrEx>
          <w:tblCellMar>
            <w:top w:w="0" w:type="dxa"/>
            <w:left w:w="108" w:type="dxa"/>
            <w:bottom w:w="0" w:type="dxa"/>
            <w:right w:w="108" w:type="dxa"/>
          </w:tblCellMar>
        </w:tblPrEx>
        <w:trPr>
          <w:trHeight w:val="540" w:hRule="atLeast"/>
        </w:trPr>
        <w:tc>
          <w:tcPr>
            <w:tcW w:w="1176"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页码（2021）</w:t>
            </w:r>
          </w:p>
        </w:tc>
        <w:tc>
          <w:tcPr>
            <w:tcW w:w="2644" w:type="dxa"/>
            <w:gridSpan w:val="2"/>
            <w:tcBorders>
              <w:top w:val="single" w:color="auto" w:sz="4" w:space="0"/>
              <w:left w:val="nil"/>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2020年指南</w:t>
            </w:r>
          </w:p>
        </w:tc>
        <w:tc>
          <w:tcPr>
            <w:tcW w:w="5120" w:type="dxa"/>
            <w:tcBorders>
              <w:top w:val="single" w:color="auto" w:sz="4" w:space="0"/>
              <w:left w:val="nil"/>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2021年指南</w:t>
            </w:r>
          </w:p>
        </w:tc>
      </w:tr>
      <w:tr>
        <w:tblPrEx>
          <w:tblCellMar>
            <w:top w:w="0" w:type="dxa"/>
            <w:left w:w="108" w:type="dxa"/>
            <w:bottom w:w="0" w:type="dxa"/>
            <w:right w:w="108" w:type="dxa"/>
          </w:tblCellMar>
        </w:tblPrEx>
        <w:trPr>
          <w:trHeight w:val="3398" w:hRule="atLeast"/>
        </w:trPr>
        <w:tc>
          <w:tcPr>
            <w:tcW w:w="1176" w:type="dxa"/>
            <w:tcBorders>
              <w:top w:val="nil"/>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425</w:t>
            </w:r>
          </w:p>
        </w:tc>
        <w:tc>
          <w:tcPr>
            <w:tcW w:w="2644" w:type="dxa"/>
            <w:gridSpan w:val="2"/>
            <w:tcBorders>
              <w:top w:val="nil"/>
              <w:left w:val="nil"/>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b/>
                <w:bCs/>
                <w:sz w:val="24"/>
                <w:szCs w:val="24"/>
              </w:rPr>
              <w:t xml:space="preserve">浅部触诊法 </w:t>
            </w:r>
            <w:r>
              <w:rPr>
                <w:rFonts w:hint="eastAsia" w:asciiTheme="minorEastAsia" w:hAnsiTheme="minorEastAsia"/>
                <w:sz w:val="24"/>
                <w:szCs w:val="24"/>
              </w:rPr>
              <w:t xml:space="preserve"> 用手指在体表柔、滑动或轻轻地按压进行触摸，一般深度约为1cm，用于浅表淋巴结、血管、关节处检查及腹部的深部触诊前的触诊检查</w:t>
            </w:r>
          </w:p>
        </w:tc>
        <w:tc>
          <w:tcPr>
            <w:tcW w:w="5120" w:type="dxa"/>
            <w:tcBorders>
              <w:top w:val="nil"/>
              <w:left w:val="nil"/>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b/>
                <w:bCs/>
                <w:sz w:val="24"/>
                <w:szCs w:val="24"/>
              </w:rPr>
              <w:t xml:space="preserve">浅部触诊法 </w:t>
            </w:r>
            <w:r>
              <w:rPr>
                <w:rFonts w:hint="eastAsia" w:asciiTheme="minorEastAsia" w:hAnsiTheme="minorEastAsia"/>
                <w:sz w:val="24"/>
                <w:szCs w:val="24"/>
              </w:rPr>
              <w:t xml:space="preserve"> 用手轻柔旋转或以滑动的方式轻亚触摸。按压深度一</w:t>
            </w:r>
            <w:r>
              <w:rPr>
                <w:rFonts w:hint="eastAsia" w:asciiTheme="minorEastAsia" w:hAnsiTheme="minorEastAsia"/>
                <w:b/>
                <w:color w:val="FF0000"/>
                <w:sz w:val="24"/>
                <w:szCs w:val="24"/>
              </w:rPr>
              <w:t>1～2cm</w:t>
            </w:r>
            <w:r>
              <w:rPr>
                <w:rFonts w:hint="eastAsia" w:asciiTheme="minorEastAsia" w:hAnsiTheme="minorEastAsia"/>
                <w:sz w:val="24"/>
                <w:szCs w:val="24"/>
              </w:rPr>
              <w:t>为宜。适用于软组织、浅部动静脉、关节、腹壁病变等检查和评估</w:t>
            </w:r>
          </w:p>
        </w:tc>
      </w:tr>
      <w:tr>
        <w:tblPrEx>
          <w:tblCellMar>
            <w:top w:w="0" w:type="dxa"/>
            <w:left w:w="108" w:type="dxa"/>
            <w:bottom w:w="0" w:type="dxa"/>
            <w:right w:w="108" w:type="dxa"/>
          </w:tblCellMar>
        </w:tblPrEx>
        <w:trPr>
          <w:trHeight w:val="765" w:hRule="atLeast"/>
        </w:trPr>
        <w:tc>
          <w:tcPr>
            <w:tcW w:w="1197" w:type="dxa"/>
            <w:gridSpan w:val="2"/>
            <w:tcBorders>
              <w:top w:val="nil"/>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425</w:t>
            </w:r>
          </w:p>
        </w:tc>
        <w:tc>
          <w:tcPr>
            <w:tcW w:w="2623" w:type="dxa"/>
            <w:tcBorders>
              <w:top w:val="nil"/>
              <w:left w:val="nil"/>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深压触诊法：用于确定深部压痛点。检查者示指、中指指尖并拢，慢慢压向深部以了解是否疼痛。如麦氏点部位的压痛等</w:t>
            </w:r>
          </w:p>
        </w:tc>
        <w:tc>
          <w:tcPr>
            <w:tcW w:w="5120" w:type="dxa"/>
            <w:tcBorders>
              <w:top w:val="nil"/>
              <w:left w:val="nil"/>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深部触诊法</w:t>
            </w:r>
            <w:r>
              <w:rPr>
                <w:rFonts w:hint="eastAsia" w:asciiTheme="minorEastAsia" w:hAnsiTheme="minorEastAsia"/>
                <w:sz w:val="24"/>
                <w:szCs w:val="24"/>
              </w:rPr>
              <w:t>：</w:t>
            </w:r>
            <w:r>
              <w:rPr>
                <w:rFonts w:asciiTheme="minorEastAsia" w:hAnsiTheme="minorEastAsia"/>
                <w:sz w:val="24"/>
                <w:szCs w:val="24"/>
              </w:rPr>
              <w:t>检查者示指</w:t>
            </w:r>
            <w:r>
              <w:rPr>
                <w:rFonts w:hint="eastAsia" w:asciiTheme="minorEastAsia" w:hAnsiTheme="minorEastAsia"/>
                <w:sz w:val="24"/>
                <w:szCs w:val="24"/>
              </w:rPr>
              <w:t>、</w:t>
            </w:r>
            <w:r>
              <w:rPr>
                <w:rFonts w:asciiTheme="minorEastAsia" w:hAnsiTheme="minorEastAsia"/>
                <w:sz w:val="24"/>
                <w:szCs w:val="24"/>
              </w:rPr>
              <w:t>中指指尖并拢</w:t>
            </w:r>
            <w:r>
              <w:rPr>
                <w:rFonts w:hint="eastAsia" w:asciiTheme="minorEastAsia" w:hAnsiTheme="minorEastAsia"/>
                <w:sz w:val="24"/>
                <w:szCs w:val="24"/>
              </w:rPr>
              <w:t>，</w:t>
            </w:r>
            <w:r>
              <w:rPr>
                <w:rFonts w:asciiTheme="minorEastAsia" w:hAnsiTheme="minorEastAsia"/>
                <w:sz w:val="24"/>
                <w:szCs w:val="24"/>
              </w:rPr>
              <w:t>慢慢压向深部</w:t>
            </w:r>
            <w:r>
              <w:rPr>
                <w:rFonts w:hint="eastAsia" w:asciiTheme="minorEastAsia" w:hAnsiTheme="minorEastAsia"/>
                <w:sz w:val="24"/>
                <w:szCs w:val="24"/>
              </w:rPr>
              <w:t>。</w:t>
            </w:r>
            <w:r>
              <w:rPr>
                <w:rFonts w:asciiTheme="minorEastAsia" w:hAnsiTheme="minorEastAsia"/>
                <w:sz w:val="24"/>
                <w:szCs w:val="24"/>
              </w:rPr>
              <w:t>主要用于探查腹部深在脏器有无损伤</w:t>
            </w:r>
            <w:r>
              <w:rPr>
                <w:rFonts w:hint="eastAsia" w:asciiTheme="minorEastAsia" w:hAnsiTheme="minorEastAsia"/>
                <w:sz w:val="24"/>
                <w:szCs w:val="24"/>
              </w:rPr>
              <w:t>、</w:t>
            </w:r>
            <w:r>
              <w:rPr>
                <w:rFonts w:asciiTheme="minorEastAsia" w:hAnsiTheme="minorEastAsia"/>
                <w:sz w:val="24"/>
                <w:szCs w:val="24"/>
              </w:rPr>
              <w:t>炎症等情况</w:t>
            </w:r>
            <w:r>
              <w:rPr>
                <w:rFonts w:hint="eastAsia" w:asciiTheme="minorEastAsia" w:hAnsiTheme="minorEastAsia"/>
                <w:sz w:val="24"/>
                <w:szCs w:val="24"/>
              </w:rPr>
              <w:t>。</w:t>
            </w:r>
            <w:r>
              <w:rPr>
                <w:rFonts w:asciiTheme="minorEastAsia" w:hAnsiTheme="minorEastAsia"/>
                <w:sz w:val="24"/>
                <w:szCs w:val="24"/>
              </w:rPr>
              <w:t>检查反跳痛时</w:t>
            </w:r>
            <w:r>
              <w:rPr>
                <w:rFonts w:hint="eastAsia" w:asciiTheme="minorEastAsia" w:hAnsiTheme="minorEastAsia"/>
                <w:sz w:val="24"/>
                <w:szCs w:val="24"/>
              </w:rPr>
              <w:t>，</w:t>
            </w:r>
            <w:r>
              <w:rPr>
                <w:rFonts w:asciiTheme="minorEastAsia" w:hAnsiTheme="minorEastAsia"/>
                <w:sz w:val="24"/>
                <w:szCs w:val="24"/>
              </w:rPr>
              <w:t>手指深压停留</w:t>
            </w:r>
            <w:r>
              <w:rPr>
                <w:rFonts w:hint="eastAsia" w:asciiTheme="minorEastAsia" w:hAnsiTheme="minorEastAsia"/>
                <w:sz w:val="24"/>
                <w:szCs w:val="24"/>
              </w:rPr>
              <w:t>2～3秒后，迅速抬手，观察受检者表情并询问是否疼痛加重</w:t>
            </w:r>
          </w:p>
        </w:tc>
      </w:tr>
      <w:tr>
        <w:tblPrEx>
          <w:tblCellMar>
            <w:top w:w="0" w:type="dxa"/>
            <w:left w:w="108" w:type="dxa"/>
            <w:bottom w:w="0" w:type="dxa"/>
            <w:right w:w="108" w:type="dxa"/>
          </w:tblCellMar>
        </w:tblPrEx>
        <w:trPr>
          <w:trHeight w:val="810" w:hRule="atLeast"/>
        </w:trPr>
        <w:tc>
          <w:tcPr>
            <w:tcW w:w="1197"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426</w:t>
            </w:r>
          </w:p>
        </w:tc>
        <w:tc>
          <w:tcPr>
            <w:tcW w:w="2623"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512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淋巴结的检查除了锁骨上淋巴结</w:t>
            </w:r>
            <w:r>
              <w:rPr>
                <w:rFonts w:hint="eastAsia" w:asciiTheme="minorEastAsia" w:hAnsiTheme="minorEastAsia"/>
                <w:sz w:val="24"/>
                <w:szCs w:val="24"/>
              </w:rPr>
              <w:t>，</w:t>
            </w:r>
            <w:r>
              <w:rPr>
                <w:rFonts w:asciiTheme="minorEastAsia" w:hAnsiTheme="minorEastAsia"/>
                <w:sz w:val="24"/>
                <w:szCs w:val="24"/>
              </w:rPr>
              <w:t>其余说法均有变动</w:t>
            </w:r>
          </w:p>
        </w:tc>
      </w:tr>
      <w:tr>
        <w:tblPrEx>
          <w:tblCellMar>
            <w:top w:w="0" w:type="dxa"/>
            <w:left w:w="108" w:type="dxa"/>
            <w:bottom w:w="0" w:type="dxa"/>
            <w:right w:w="108" w:type="dxa"/>
          </w:tblCellMar>
        </w:tblPrEx>
        <w:trPr>
          <w:trHeight w:val="810" w:hRule="atLeast"/>
        </w:trPr>
        <w:tc>
          <w:tcPr>
            <w:tcW w:w="1197"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426</w:t>
            </w:r>
          </w:p>
        </w:tc>
        <w:tc>
          <w:tcPr>
            <w:tcW w:w="2623"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512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眼部检查增加</w:t>
            </w:r>
            <w:r>
              <w:rPr>
                <w:rFonts w:hint="eastAsia" w:asciiTheme="minorEastAsia" w:hAnsiTheme="minorEastAsia"/>
                <w:sz w:val="24"/>
                <w:szCs w:val="24"/>
              </w:rPr>
              <w:t>：</w:t>
            </w:r>
            <w:r>
              <w:rPr>
                <w:rFonts w:asciiTheme="minorEastAsia" w:hAnsiTheme="minorEastAsia"/>
                <w:b/>
                <w:color w:val="FF0000"/>
                <w:sz w:val="24"/>
                <w:szCs w:val="24"/>
              </w:rPr>
              <w:t>眼球运动及集合反射</w:t>
            </w:r>
          </w:p>
        </w:tc>
      </w:tr>
      <w:tr>
        <w:tblPrEx>
          <w:tblCellMar>
            <w:top w:w="0" w:type="dxa"/>
            <w:left w:w="108" w:type="dxa"/>
            <w:bottom w:w="0" w:type="dxa"/>
            <w:right w:w="108" w:type="dxa"/>
          </w:tblCellMar>
        </w:tblPrEx>
        <w:trPr>
          <w:trHeight w:val="810" w:hRule="atLeast"/>
        </w:trPr>
        <w:tc>
          <w:tcPr>
            <w:tcW w:w="1197"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427</w:t>
            </w:r>
          </w:p>
        </w:tc>
        <w:tc>
          <w:tcPr>
            <w:tcW w:w="2623"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512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b/>
                <w:color w:val="FF0000"/>
                <w:sz w:val="24"/>
                <w:szCs w:val="24"/>
              </w:rPr>
            </w:pPr>
            <w:r>
              <w:rPr>
                <w:rFonts w:asciiTheme="minorEastAsia" w:hAnsiTheme="minorEastAsia"/>
                <w:b/>
                <w:color w:val="FF0000"/>
                <w:sz w:val="24"/>
                <w:szCs w:val="24"/>
              </w:rPr>
              <w:t>新增耳的检查</w:t>
            </w:r>
            <w:r>
              <w:rPr>
                <w:rFonts w:hint="eastAsia" w:asciiTheme="minorEastAsia" w:hAnsiTheme="minorEastAsia"/>
                <w:b/>
                <w:color w:val="FF0000"/>
                <w:sz w:val="24"/>
                <w:szCs w:val="24"/>
              </w:rPr>
              <w:t>、</w:t>
            </w:r>
            <w:r>
              <w:rPr>
                <w:rFonts w:asciiTheme="minorEastAsia" w:hAnsiTheme="minorEastAsia"/>
                <w:b/>
                <w:color w:val="FF0000"/>
                <w:sz w:val="24"/>
                <w:szCs w:val="24"/>
              </w:rPr>
              <w:t>鼻部检查</w:t>
            </w:r>
          </w:p>
        </w:tc>
      </w:tr>
      <w:tr>
        <w:tblPrEx>
          <w:tblCellMar>
            <w:top w:w="0" w:type="dxa"/>
            <w:left w:w="108" w:type="dxa"/>
            <w:bottom w:w="0" w:type="dxa"/>
            <w:right w:w="108" w:type="dxa"/>
          </w:tblCellMar>
        </w:tblPrEx>
        <w:trPr>
          <w:trHeight w:val="810" w:hRule="atLeast"/>
        </w:trPr>
        <w:tc>
          <w:tcPr>
            <w:tcW w:w="1197"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427</w:t>
            </w:r>
          </w:p>
        </w:tc>
        <w:tc>
          <w:tcPr>
            <w:tcW w:w="2623"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512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颈部血管检查新增</w:t>
            </w:r>
            <w:r>
              <w:rPr>
                <w:rFonts w:hint="eastAsia" w:asciiTheme="minorEastAsia" w:hAnsiTheme="minorEastAsia"/>
                <w:sz w:val="24"/>
                <w:szCs w:val="24"/>
              </w:rPr>
              <w:t>：</w:t>
            </w:r>
            <w:r>
              <w:rPr>
                <w:rFonts w:asciiTheme="minorEastAsia" w:hAnsiTheme="minorEastAsia"/>
                <w:sz w:val="24"/>
                <w:szCs w:val="24"/>
              </w:rPr>
              <w:t>颈静脉怒张见于哪些疾病</w:t>
            </w:r>
          </w:p>
        </w:tc>
      </w:tr>
      <w:tr>
        <w:tblPrEx>
          <w:tblCellMar>
            <w:top w:w="0" w:type="dxa"/>
            <w:left w:w="108" w:type="dxa"/>
            <w:bottom w:w="0" w:type="dxa"/>
            <w:right w:w="108" w:type="dxa"/>
          </w:tblCellMar>
        </w:tblPrEx>
        <w:trPr>
          <w:trHeight w:val="810" w:hRule="atLeast"/>
        </w:trPr>
        <w:tc>
          <w:tcPr>
            <w:tcW w:w="1197"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427</w:t>
            </w:r>
          </w:p>
        </w:tc>
        <w:tc>
          <w:tcPr>
            <w:tcW w:w="2623"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512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b/>
                <w:color w:val="FF0000"/>
                <w:sz w:val="24"/>
                <w:szCs w:val="24"/>
              </w:rPr>
            </w:pPr>
            <w:r>
              <w:rPr>
                <w:rFonts w:asciiTheme="minorEastAsia" w:hAnsiTheme="minorEastAsia"/>
                <w:b/>
                <w:color w:val="FF0000"/>
                <w:sz w:val="24"/>
                <w:szCs w:val="24"/>
              </w:rPr>
              <w:t>胸部检查新增</w:t>
            </w:r>
            <w:r>
              <w:rPr>
                <w:rFonts w:hint="eastAsia" w:asciiTheme="minorEastAsia" w:hAnsiTheme="minorEastAsia"/>
                <w:b/>
                <w:color w:val="FF0000"/>
                <w:sz w:val="24"/>
                <w:szCs w:val="24"/>
              </w:rPr>
              <w:t>：胸部体表标志</w:t>
            </w:r>
          </w:p>
        </w:tc>
      </w:tr>
      <w:tr>
        <w:tblPrEx>
          <w:tblCellMar>
            <w:top w:w="0" w:type="dxa"/>
            <w:left w:w="108" w:type="dxa"/>
            <w:bottom w:w="0" w:type="dxa"/>
            <w:right w:w="108" w:type="dxa"/>
          </w:tblCellMar>
        </w:tblPrEx>
        <w:trPr>
          <w:trHeight w:val="810" w:hRule="atLeast"/>
        </w:trPr>
        <w:tc>
          <w:tcPr>
            <w:tcW w:w="1197"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428</w:t>
            </w:r>
          </w:p>
        </w:tc>
        <w:tc>
          <w:tcPr>
            <w:tcW w:w="2623"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512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胸膜摩擦感检查变动</w:t>
            </w:r>
          </w:p>
        </w:tc>
      </w:tr>
      <w:tr>
        <w:tblPrEx>
          <w:tblCellMar>
            <w:top w:w="0" w:type="dxa"/>
            <w:left w:w="108" w:type="dxa"/>
            <w:bottom w:w="0" w:type="dxa"/>
            <w:right w:w="108" w:type="dxa"/>
          </w:tblCellMar>
        </w:tblPrEx>
        <w:trPr>
          <w:trHeight w:val="810" w:hRule="atLeast"/>
        </w:trPr>
        <w:tc>
          <w:tcPr>
            <w:tcW w:w="1197"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429</w:t>
            </w:r>
          </w:p>
        </w:tc>
        <w:tc>
          <w:tcPr>
            <w:tcW w:w="2623"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512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b/>
                <w:color w:val="FF0000"/>
                <w:sz w:val="24"/>
                <w:szCs w:val="24"/>
              </w:rPr>
            </w:pPr>
            <w:r>
              <w:rPr>
                <w:rFonts w:asciiTheme="minorEastAsia" w:hAnsiTheme="minorEastAsia"/>
                <w:b/>
                <w:color w:val="FF0000"/>
                <w:sz w:val="24"/>
                <w:szCs w:val="24"/>
              </w:rPr>
              <w:t>腹部检查新增</w:t>
            </w:r>
            <w:r>
              <w:rPr>
                <w:rFonts w:hint="eastAsia" w:asciiTheme="minorEastAsia" w:hAnsiTheme="minorEastAsia"/>
                <w:b/>
                <w:color w:val="FF0000"/>
                <w:sz w:val="24"/>
                <w:szCs w:val="24"/>
              </w:rPr>
              <w:t>：</w:t>
            </w:r>
            <w:r>
              <w:rPr>
                <w:rFonts w:asciiTheme="minorEastAsia" w:hAnsiTheme="minorEastAsia"/>
                <w:b/>
                <w:color w:val="FF0000"/>
                <w:sz w:val="24"/>
                <w:szCs w:val="24"/>
              </w:rPr>
              <w:t>腹部四分法和九分法</w:t>
            </w:r>
          </w:p>
        </w:tc>
      </w:tr>
      <w:tr>
        <w:tblPrEx>
          <w:tblCellMar>
            <w:top w:w="0" w:type="dxa"/>
            <w:left w:w="108" w:type="dxa"/>
            <w:bottom w:w="0" w:type="dxa"/>
            <w:right w:w="108" w:type="dxa"/>
          </w:tblCellMar>
        </w:tblPrEx>
        <w:trPr>
          <w:trHeight w:val="810" w:hRule="atLeast"/>
        </w:trPr>
        <w:tc>
          <w:tcPr>
            <w:tcW w:w="1197"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430</w:t>
            </w:r>
          </w:p>
        </w:tc>
        <w:tc>
          <w:tcPr>
            <w:tcW w:w="2623"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512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asciiTheme="minorEastAsia" w:hAnsiTheme="minorEastAsia"/>
                <w:sz w:val="24"/>
                <w:szCs w:val="24"/>
              </w:rPr>
              <w:t>全腹叩诊从左下腹开始</w:t>
            </w:r>
            <w:r>
              <w:rPr>
                <w:rFonts w:hint="eastAsia" w:asciiTheme="minorEastAsia" w:hAnsiTheme="minorEastAsia"/>
                <w:sz w:val="24"/>
                <w:szCs w:val="24"/>
              </w:rPr>
              <w:t>，</w:t>
            </w:r>
            <w:r>
              <w:rPr>
                <w:rFonts w:asciiTheme="minorEastAsia" w:hAnsiTheme="minorEastAsia"/>
                <w:sz w:val="24"/>
                <w:szCs w:val="24"/>
              </w:rPr>
              <w:t>逆时针方向叩诊至右下腹</w:t>
            </w:r>
            <w:r>
              <w:rPr>
                <w:rFonts w:hint="eastAsia" w:asciiTheme="minorEastAsia" w:hAnsiTheme="minorEastAsia"/>
                <w:sz w:val="24"/>
                <w:szCs w:val="24"/>
              </w:rPr>
              <w:t>，</w:t>
            </w:r>
            <w:r>
              <w:rPr>
                <w:rFonts w:asciiTheme="minorEastAsia" w:hAnsiTheme="minorEastAsia"/>
                <w:sz w:val="24"/>
                <w:szCs w:val="24"/>
              </w:rPr>
              <w:t>最后到脐部</w:t>
            </w:r>
          </w:p>
        </w:tc>
      </w:tr>
      <w:tr>
        <w:tblPrEx>
          <w:tblCellMar>
            <w:top w:w="0" w:type="dxa"/>
            <w:left w:w="108" w:type="dxa"/>
            <w:bottom w:w="0" w:type="dxa"/>
            <w:right w:w="108" w:type="dxa"/>
          </w:tblCellMar>
        </w:tblPrEx>
        <w:trPr>
          <w:trHeight w:val="810" w:hRule="atLeast"/>
        </w:trPr>
        <w:tc>
          <w:tcPr>
            <w:tcW w:w="1197"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430</w:t>
            </w:r>
          </w:p>
        </w:tc>
        <w:tc>
          <w:tcPr>
            <w:tcW w:w="2623"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512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b/>
                <w:color w:val="FF0000"/>
                <w:sz w:val="24"/>
                <w:szCs w:val="24"/>
              </w:rPr>
            </w:pPr>
            <w:r>
              <w:rPr>
                <w:rFonts w:asciiTheme="minorEastAsia" w:hAnsiTheme="minorEastAsia"/>
                <w:b/>
                <w:color w:val="FF0000"/>
                <w:sz w:val="24"/>
                <w:szCs w:val="24"/>
              </w:rPr>
              <w:t>肠鸣音听诊</w:t>
            </w:r>
            <w:r>
              <w:rPr>
                <w:rFonts w:hint="eastAsia" w:asciiTheme="minorEastAsia" w:hAnsiTheme="minorEastAsia"/>
                <w:b/>
                <w:color w:val="FF0000"/>
                <w:sz w:val="24"/>
                <w:szCs w:val="24"/>
              </w:rPr>
              <w:t>2分钟以上</w:t>
            </w:r>
          </w:p>
        </w:tc>
      </w:tr>
      <w:tr>
        <w:tblPrEx>
          <w:tblCellMar>
            <w:top w:w="0" w:type="dxa"/>
            <w:left w:w="108" w:type="dxa"/>
            <w:bottom w:w="0" w:type="dxa"/>
            <w:right w:w="108" w:type="dxa"/>
          </w:tblCellMar>
        </w:tblPrEx>
        <w:trPr>
          <w:trHeight w:val="810" w:hRule="atLeast"/>
        </w:trPr>
        <w:tc>
          <w:tcPr>
            <w:tcW w:w="1197" w:type="dxa"/>
            <w:gridSpan w:val="2"/>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r>
              <w:rPr>
                <w:rFonts w:hint="eastAsia" w:asciiTheme="minorEastAsia" w:hAnsiTheme="minorEastAsia"/>
                <w:sz w:val="24"/>
                <w:szCs w:val="24"/>
              </w:rPr>
              <w:t>431</w:t>
            </w:r>
          </w:p>
        </w:tc>
        <w:tc>
          <w:tcPr>
            <w:tcW w:w="2623"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sz w:val="24"/>
                <w:szCs w:val="24"/>
              </w:rPr>
            </w:pPr>
          </w:p>
        </w:tc>
        <w:tc>
          <w:tcPr>
            <w:tcW w:w="5120" w:type="dxa"/>
            <w:tcBorders>
              <w:top w:val="single" w:color="auto" w:sz="4" w:space="0"/>
              <w:left w:val="single" w:color="auto" w:sz="4" w:space="0"/>
              <w:bottom w:val="single" w:color="auto" w:sz="4" w:space="0"/>
              <w:right w:val="single" w:color="auto" w:sz="4" w:space="0"/>
            </w:tcBorders>
          </w:tcPr>
          <w:p>
            <w:pPr>
              <w:spacing w:line="360" w:lineRule="auto"/>
              <w:rPr>
                <w:rFonts w:asciiTheme="minorEastAsia" w:hAnsiTheme="minorEastAsia"/>
                <w:b/>
                <w:color w:val="FF0000"/>
                <w:sz w:val="24"/>
                <w:szCs w:val="24"/>
              </w:rPr>
            </w:pPr>
            <w:r>
              <w:rPr>
                <w:rFonts w:asciiTheme="minorEastAsia" w:hAnsiTheme="minorEastAsia"/>
                <w:b/>
                <w:color w:val="FF0000"/>
                <w:sz w:val="24"/>
                <w:szCs w:val="24"/>
              </w:rPr>
              <w:t>神经系统检查新增</w:t>
            </w:r>
            <w:r>
              <w:rPr>
                <w:rFonts w:hint="eastAsia" w:asciiTheme="minorEastAsia" w:hAnsiTheme="minorEastAsia"/>
                <w:b/>
                <w:color w:val="FF0000"/>
                <w:sz w:val="24"/>
                <w:szCs w:val="24"/>
              </w:rPr>
              <w:t>：</w:t>
            </w:r>
            <w:r>
              <w:rPr>
                <w:rFonts w:asciiTheme="minorEastAsia" w:hAnsiTheme="minorEastAsia"/>
                <w:b/>
                <w:color w:val="FF0000"/>
                <w:sz w:val="24"/>
                <w:szCs w:val="24"/>
              </w:rPr>
              <w:t>感觉功能</w:t>
            </w:r>
            <w:r>
              <w:rPr>
                <w:rFonts w:hint="eastAsia" w:asciiTheme="minorEastAsia" w:hAnsiTheme="minorEastAsia"/>
                <w:b/>
                <w:color w:val="FF0000"/>
                <w:sz w:val="24"/>
                <w:szCs w:val="24"/>
              </w:rPr>
              <w:t>、</w:t>
            </w:r>
            <w:r>
              <w:rPr>
                <w:rFonts w:asciiTheme="minorEastAsia" w:hAnsiTheme="minorEastAsia"/>
                <w:b/>
                <w:color w:val="FF0000"/>
                <w:sz w:val="24"/>
                <w:szCs w:val="24"/>
              </w:rPr>
              <w:t>即浅感觉</w:t>
            </w:r>
            <w:r>
              <w:rPr>
                <w:rFonts w:hint="eastAsia" w:asciiTheme="minorEastAsia" w:hAnsiTheme="minorEastAsia"/>
                <w:b/>
                <w:color w:val="FF0000"/>
                <w:sz w:val="24"/>
                <w:szCs w:val="24"/>
              </w:rPr>
              <w:t>、</w:t>
            </w:r>
            <w:r>
              <w:rPr>
                <w:rFonts w:asciiTheme="minorEastAsia" w:hAnsiTheme="minorEastAsia"/>
                <w:b/>
                <w:color w:val="FF0000"/>
                <w:sz w:val="24"/>
                <w:szCs w:val="24"/>
              </w:rPr>
              <w:t>深感觉和复合感觉</w:t>
            </w:r>
          </w:p>
        </w:tc>
      </w:tr>
    </w:tbl>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E0FE0"/>
    <w:rsid w:val="00BE0FE0"/>
    <w:rsid w:val="41787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657</Words>
  <Characters>3746</Characters>
  <Lines>31</Lines>
  <Paragraphs>8</Paragraphs>
  <TotalTime>0</TotalTime>
  <ScaleCrop>false</ScaleCrop>
  <LinksUpToDate>false</LinksUpToDate>
  <CharactersWithSpaces>4395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2020-12-07T08:28:00Z</dcterms:created>
  <dc:creator>郝晓明</dc:creator>
  <cp:lastModifiedBy>dell</cp:lastModifiedBy>
  <dcterms:modified xsi:type="dcterms:W3CDTF">2020-12-07T11:02:49Z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