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4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临床执业医师《其他》考试大纲</w:t>
      </w:r>
      <w:bookmarkEnd w:id="0"/>
    </w:p>
    <w:tbl>
      <w:tblPr>
        <w:tblStyle w:val="7"/>
        <w:tblW w:w="9388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2694"/>
        <w:gridCol w:w="55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（一）围手术期处理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1.术前准备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（1）手术限时分类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（2）一般准备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（3）特殊准备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2.术后处理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（1）术后常规处理与监测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（2）术后不适与处理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3.术后主要并发症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（2）预防与处理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（1）人体的基本营养代谢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（2）创伤与感染的代谢变化与营养需求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（3）营养状态的评价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2.肠外营养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（2）制剂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（3）全营养混合液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（4）输入途径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（5）适应证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（7）监测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3.肠内营养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（2）制剂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（3）适应证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2.软组织急性化脓性感染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（1）疖的病因、临床特点和治疗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（2）痈的病因、临床特点和治疗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（3）急性蜂窝织炎的病因、临床特点和治疗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（4）丹毒的病因、临床特点和治疗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（5）甲沟炎的病因、临床特点和治疗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（6）脓性指头炎的病因、临床特点和治疗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3.全身化脓性感染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4.有芽胞厌氧菌感染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（1）破伤风梭状芽胞杆菌感染的诊断与治疗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（2）气性坏疽的诊断与治疗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5.抗菌药合理应用原则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（四）创伤和火器伤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（2）创伤的诊断、创口的判断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（3）清创术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（4）急救及治疗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（5）影响伤口愈合的因素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火器伤的特点及治疗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1.热烧伤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（1）面积计算与深度判定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（2）现场急救与治疗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（3）初期处理与补液方法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2.电烧伤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（2）急救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（六）乳房疾病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1.乳房解剖、生理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2.急性乳腺炎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（4）治疗及切开引流的注意事项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3.乳腺囊性增生病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4.乳腺纤维腺瘤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5.乳腺癌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（1）高危因素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（2）常见组织学类型及转移途径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（3）临床表现和临床分期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（4）诊断和临床分期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（6）综合治疗与预防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（七）中毒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1.总论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2.急性农药中毒（有机磷杀虫药、灭鼠药）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（1）中毒机制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（2）临床表现和分级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3.急性一氧化碳中毒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（5）治疗、防治并发症和后发症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4.镇静催眠药中毒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（1）中毒机制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5.亚硝酸盐中毒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6.急性毒品中毒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（八）中暑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（4）处理原则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041EB7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78C3A1B"/>
    <w:rsid w:val="380A417A"/>
    <w:rsid w:val="384B5DD7"/>
    <w:rsid w:val="393176A5"/>
    <w:rsid w:val="3A2C36FD"/>
    <w:rsid w:val="3AC03F9E"/>
    <w:rsid w:val="40876B2F"/>
    <w:rsid w:val="408C3EFF"/>
    <w:rsid w:val="414E481C"/>
    <w:rsid w:val="41572572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  <w:rsid w:val="7FF03A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