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Style w:val="12"/>
          <w:rFonts w:eastAsia="方正小标宋_GBK"/>
          <w:b w:val="0"/>
          <w:sz w:val="44"/>
          <w:szCs w:val="44"/>
        </w:rPr>
      </w:pPr>
    </w:p>
    <w:p>
      <w:pPr>
        <w:spacing w:line="580" w:lineRule="exact"/>
        <w:jc w:val="center"/>
        <w:rPr>
          <w:rStyle w:val="12"/>
          <w:rFonts w:eastAsia="方正小标宋_GBK"/>
          <w:b w:val="0"/>
          <w:sz w:val="44"/>
          <w:szCs w:val="44"/>
        </w:rPr>
      </w:pPr>
      <w:r>
        <w:rPr>
          <w:rStyle w:val="12"/>
          <w:rFonts w:eastAsia="方正小标宋_GBK"/>
          <w:b w:val="0"/>
          <w:sz w:val="44"/>
          <w:szCs w:val="44"/>
        </w:rPr>
        <w:t>江苏省卫生专业技术资格条件</w:t>
      </w:r>
    </w:p>
    <w:p>
      <w:pPr>
        <w:spacing w:line="580" w:lineRule="exact"/>
        <w:jc w:val="center"/>
        <w:rPr>
          <w:rFonts w:ascii="方正楷体_GBK" w:eastAsia="方正楷体_GBK"/>
          <w:bCs/>
          <w:sz w:val="32"/>
          <w:szCs w:val="32"/>
        </w:rPr>
      </w:pPr>
      <w:r>
        <w:rPr>
          <w:rFonts w:hint="eastAsia" w:ascii="方正楷体_GBK" w:eastAsia="方正楷体_GBK"/>
          <w:bCs/>
          <w:sz w:val="32"/>
          <w:szCs w:val="32"/>
        </w:rPr>
        <w:t>（征求意见稿）</w:t>
      </w:r>
    </w:p>
    <w:p>
      <w:pPr>
        <w:spacing w:before="315" w:beforeLines="100" w:after="315" w:afterLines="100" w:line="580" w:lineRule="exact"/>
        <w:jc w:val="center"/>
        <w:rPr>
          <w:rStyle w:val="12"/>
          <w:rFonts w:eastAsia="方正黑体_GBK"/>
          <w:b w:val="0"/>
          <w:sz w:val="32"/>
          <w:szCs w:val="32"/>
        </w:rPr>
      </w:pPr>
      <w:r>
        <w:rPr>
          <w:rStyle w:val="12"/>
          <w:rFonts w:eastAsia="方正黑体_GBK"/>
          <w:b w:val="0"/>
          <w:sz w:val="32"/>
          <w:szCs w:val="32"/>
        </w:rPr>
        <w:t>第一章  总  则</w:t>
      </w:r>
    </w:p>
    <w:p>
      <w:pPr>
        <w:spacing w:line="580" w:lineRule="exact"/>
        <w:ind w:firstLine="640" w:firstLineChars="200"/>
        <w:rPr>
          <w:rFonts w:eastAsia="方正仿宋_GBK"/>
          <w:sz w:val="32"/>
          <w:szCs w:val="32"/>
        </w:rPr>
      </w:pPr>
      <w:r>
        <w:rPr>
          <w:rFonts w:hint="eastAsia" w:eastAsia="方正仿宋_GBK"/>
          <w:sz w:val="32"/>
          <w:szCs w:val="32"/>
        </w:rPr>
        <w:t>第一条 为科学、客观、公正地评价卫生专业技术人员的技术水平和能力，培养造就高素质的卫生专业技术人员队伍，满足人民群众健康需求，根据《中华人民共和国医师法》《人力资源社会保障部 国家卫生健康委 国家中医药管理局关于深化卫生专业技术人员职称制度改革的指导意见》和我省职称制度改革有关政策规定，结合全省卫生专业技术工作实际，制定本资格条件。</w:t>
      </w:r>
    </w:p>
    <w:p>
      <w:pPr>
        <w:spacing w:line="580" w:lineRule="exact"/>
        <w:ind w:firstLine="640" w:firstLineChars="200"/>
        <w:rPr>
          <w:rFonts w:eastAsia="方正仿宋_GBK"/>
          <w:sz w:val="32"/>
          <w:szCs w:val="32"/>
        </w:rPr>
      </w:pPr>
      <w:r>
        <w:rPr>
          <w:rFonts w:eastAsia="方正仿宋_GBK"/>
          <w:sz w:val="32"/>
          <w:szCs w:val="32"/>
        </w:rPr>
        <w:t>第二条 本资格条件适用于受聘在医疗机构、公共卫生机构，已具备相应的执业资格或专业技术资格，并从事与执业资格或专业技术资格类别相同的医疗、预防、药学、护理、医技、卫生管理等专业技术工作的人员</w:t>
      </w:r>
      <w:r>
        <w:rPr>
          <w:rFonts w:hint="eastAsia" w:eastAsia="方正仿宋_GBK"/>
          <w:sz w:val="32"/>
          <w:szCs w:val="32"/>
        </w:rPr>
        <w:t>，以及卫生健康行业</w:t>
      </w:r>
      <w:r>
        <w:rPr>
          <w:rFonts w:eastAsia="方正仿宋_GBK"/>
          <w:sz w:val="32"/>
          <w:szCs w:val="32"/>
        </w:rPr>
        <w:t>的其他事业单位和社会组织</w:t>
      </w:r>
      <w:r>
        <w:rPr>
          <w:rFonts w:hint="eastAsia" w:eastAsia="方正仿宋_GBK"/>
          <w:sz w:val="32"/>
          <w:szCs w:val="32"/>
        </w:rPr>
        <w:t>中从事卫生管理专业技术工作的人员。</w:t>
      </w:r>
    </w:p>
    <w:p>
      <w:pPr>
        <w:spacing w:line="580" w:lineRule="exact"/>
        <w:ind w:firstLine="640" w:firstLineChars="200"/>
        <w:rPr>
          <w:rFonts w:eastAsia="方正仿宋_GBK"/>
          <w:sz w:val="32"/>
          <w:szCs w:val="32"/>
        </w:rPr>
      </w:pPr>
      <w:r>
        <w:rPr>
          <w:rFonts w:eastAsia="方正仿宋_GBK"/>
          <w:sz w:val="32"/>
          <w:szCs w:val="32"/>
        </w:rPr>
        <w:t>公务员（含列入参照公务员法管理的事业单位工作人员）、离退休人员不得申报。</w:t>
      </w:r>
    </w:p>
    <w:p>
      <w:pPr>
        <w:spacing w:line="580" w:lineRule="exact"/>
        <w:ind w:firstLine="640" w:firstLineChars="200"/>
        <w:rPr>
          <w:rFonts w:eastAsia="方正仿宋_GBK"/>
          <w:sz w:val="32"/>
          <w:szCs w:val="32"/>
        </w:rPr>
      </w:pPr>
      <w:r>
        <w:rPr>
          <w:rFonts w:eastAsia="方正仿宋_GBK"/>
          <w:sz w:val="32"/>
          <w:szCs w:val="32"/>
        </w:rPr>
        <w:t>第三条 卫生专业技术资格分为医学、药学、护理、医技</w:t>
      </w:r>
      <w:r>
        <w:rPr>
          <w:rFonts w:hint="eastAsia" w:eastAsia="方正仿宋_GBK"/>
          <w:sz w:val="32"/>
          <w:szCs w:val="32"/>
        </w:rPr>
        <w:t>、</w:t>
      </w:r>
      <w:r>
        <w:rPr>
          <w:rFonts w:eastAsia="方正仿宋_GBK"/>
          <w:sz w:val="32"/>
          <w:szCs w:val="32"/>
        </w:rPr>
        <w:t>卫生管理五大类，</w:t>
      </w:r>
      <w:r>
        <w:rPr>
          <w:rFonts w:hint="eastAsia" w:eastAsia="方正仿宋_GBK"/>
          <w:sz w:val="32"/>
          <w:szCs w:val="32"/>
        </w:rPr>
        <w:t>设初级士、初级师、中级、副高级、正高级五个层次。对应的名称依次</w:t>
      </w:r>
      <w:r>
        <w:rPr>
          <w:rFonts w:eastAsia="方正仿宋_GBK"/>
          <w:sz w:val="32"/>
          <w:szCs w:val="32"/>
        </w:rPr>
        <w:t>为医（药、护、技）士，医（药、护、技）师、研究实习员，主治（管）医（药、护、技）师、助理研究员，副主任医（药、护、技）师、副研究员，主任医（药、护、技）师、研究员。</w:t>
      </w:r>
    </w:p>
    <w:p>
      <w:pPr>
        <w:spacing w:line="580" w:lineRule="exact"/>
        <w:ind w:firstLine="640" w:firstLineChars="200"/>
        <w:rPr>
          <w:rFonts w:eastAsia="方正仿宋_GBK"/>
          <w:sz w:val="32"/>
          <w:szCs w:val="32"/>
        </w:rPr>
      </w:pPr>
      <w:r>
        <w:rPr>
          <w:rFonts w:eastAsia="方正仿宋_GBK"/>
          <w:sz w:val="32"/>
          <w:szCs w:val="32"/>
        </w:rPr>
        <w:t>第四条 卫生初级、中级资格</w:t>
      </w:r>
      <w:r>
        <w:rPr>
          <w:rFonts w:hint="eastAsia" w:eastAsia="方正仿宋_GBK"/>
          <w:sz w:val="32"/>
          <w:szCs w:val="32"/>
        </w:rPr>
        <w:t>实行以考代评，</w:t>
      </w:r>
      <w:r>
        <w:rPr>
          <w:rFonts w:eastAsia="方正仿宋_GBK"/>
          <w:sz w:val="32"/>
          <w:szCs w:val="32"/>
        </w:rPr>
        <w:t>高级资格</w:t>
      </w:r>
      <w:r>
        <w:rPr>
          <w:rFonts w:hint="eastAsia" w:eastAsia="方正仿宋_GBK"/>
          <w:sz w:val="32"/>
          <w:szCs w:val="32"/>
        </w:rPr>
        <w:t>采取</w:t>
      </w:r>
      <w:r>
        <w:rPr>
          <w:rFonts w:eastAsia="方正仿宋_GBK"/>
          <w:sz w:val="32"/>
          <w:szCs w:val="32"/>
        </w:rPr>
        <w:t>专业实践能力考核与评审相结合</w:t>
      </w:r>
      <w:r>
        <w:rPr>
          <w:rFonts w:hint="eastAsia" w:eastAsia="方正仿宋_GBK"/>
          <w:sz w:val="32"/>
          <w:szCs w:val="32"/>
        </w:rPr>
        <w:t>的方式</w:t>
      </w:r>
      <w:r>
        <w:rPr>
          <w:rFonts w:eastAsia="方正仿宋_GBK"/>
          <w:sz w:val="32"/>
          <w:szCs w:val="32"/>
        </w:rPr>
        <w:t>。</w:t>
      </w:r>
    </w:p>
    <w:p>
      <w:pPr>
        <w:spacing w:before="315" w:beforeLines="100" w:after="315" w:afterLines="100" w:line="580" w:lineRule="exact"/>
        <w:jc w:val="center"/>
        <w:rPr>
          <w:rFonts w:eastAsia="方正黑体_GBK"/>
          <w:sz w:val="32"/>
          <w:szCs w:val="32"/>
        </w:rPr>
      </w:pPr>
      <w:r>
        <w:rPr>
          <w:rStyle w:val="12"/>
          <w:rFonts w:eastAsia="方正黑体_GBK"/>
          <w:b w:val="0"/>
          <w:sz w:val="32"/>
          <w:szCs w:val="32"/>
        </w:rPr>
        <w:t>第二章  基本条件</w:t>
      </w:r>
    </w:p>
    <w:p>
      <w:pPr>
        <w:spacing w:line="580" w:lineRule="exact"/>
        <w:ind w:firstLine="640" w:firstLineChars="200"/>
        <w:rPr>
          <w:rFonts w:eastAsia="方正仿宋_GBK"/>
          <w:sz w:val="32"/>
          <w:szCs w:val="32"/>
        </w:rPr>
      </w:pPr>
      <w:r>
        <w:rPr>
          <w:rFonts w:eastAsia="方正仿宋_GBK"/>
          <w:sz w:val="32"/>
          <w:szCs w:val="32"/>
        </w:rPr>
        <w:t>第五条</w:t>
      </w:r>
      <w:r>
        <w:rPr>
          <w:rFonts w:hint="eastAsia" w:eastAsia="方正仿宋_GBK"/>
          <w:sz w:val="32"/>
          <w:szCs w:val="32"/>
        </w:rPr>
        <w:t xml:space="preserve"> </w:t>
      </w:r>
      <w:r>
        <w:rPr>
          <w:rFonts w:eastAsia="方正仿宋_GBK"/>
          <w:sz w:val="32"/>
          <w:szCs w:val="32"/>
        </w:rPr>
        <w:t>遵守国家宪法和法律，贯彻新时代卫生与健康工作方针，自觉践行“敬佑生命、救死扶伤、甘于奉献、大爱无疆”的职业精神，具备良好的政治素质、协作精神、敬业精神和医德医风。</w:t>
      </w:r>
    </w:p>
    <w:p>
      <w:pPr>
        <w:spacing w:line="580" w:lineRule="exact"/>
        <w:ind w:firstLine="640" w:firstLineChars="200"/>
        <w:rPr>
          <w:rFonts w:eastAsia="方正仿宋_GBK"/>
          <w:kern w:val="0"/>
          <w:sz w:val="32"/>
          <w:szCs w:val="32"/>
        </w:rPr>
      </w:pPr>
      <w:r>
        <w:rPr>
          <w:rFonts w:eastAsia="方正仿宋_GBK"/>
          <w:sz w:val="32"/>
          <w:szCs w:val="32"/>
        </w:rPr>
        <w:t>第六条</w:t>
      </w:r>
      <w:r>
        <w:rPr>
          <w:rFonts w:hint="eastAsia" w:eastAsia="方正仿宋_GBK"/>
          <w:sz w:val="32"/>
          <w:szCs w:val="32"/>
        </w:rPr>
        <w:t xml:space="preserve"> </w:t>
      </w:r>
      <w:r>
        <w:rPr>
          <w:rFonts w:eastAsia="方正仿宋_GBK"/>
          <w:sz w:val="32"/>
          <w:szCs w:val="32"/>
        </w:rPr>
        <w:t>身心健康，心理素质良好，能全面履行岗位职责。</w:t>
      </w:r>
    </w:p>
    <w:p>
      <w:pPr>
        <w:spacing w:line="580" w:lineRule="exact"/>
        <w:ind w:firstLine="640" w:firstLineChars="200"/>
        <w:rPr>
          <w:rFonts w:eastAsia="方正仿宋_GBK"/>
          <w:sz w:val="32"/>
          <w:szCs w:val="32"/>
        </w:rPr>
      </w:pPr>
      <w:r>
        <w:rPr>
          <w:rFonts w:eastAsia="方正仿宋_GBK"/>
          <w:sz w:val="32"/>
          <w:szCs w:val="32"/>
        </w:rPr>
        <w:t>第七条</w:t>
      </w:r>
      <w:r>
        <w:rPr>
          <w:rFonts w:hint="eastAsia" w:eastAsia="方正仿宋_GBK"/>
          <w:sz w:val="32"/>
          <w:szCs w:val="32"/>
        </w:rPr>
        <w:t xml:space="preserve"> </w:t>
      </w:r>
      <w:r>
        <w:rPr>
          <w:rFonts w:eastAsia="方正仿宋_GBK"/>
          <w:sz w:val="32"/>
          <w:szCs w:val="32"/>
        </w:rPr>
        <w:t>卫生专业技术人员申报医</w:t>
      </w:r>
      <w:r>
        <w:rPr>
          <w:rFonts w:hint="eastAsia" w:eastAsia="方正仿宋_GBK"/>
          <w:sz w:val="32"/>
          <w:szCs w:val="32"/>
        </w:rPr>
        <w:t>学</w:t>
      </w:r>
      <w:r>
        <w:rPr>
          <w:rFonts w:eastAsia="方正仿宋_GBK"/>
          <w:sz w:val="32"/>
          <w:szCs w:val="32"/>
        </w:rPr>
        <w:t>类、护理类职称，应取得相应</w:t>
      </w:r>
      <w:r>
        <w:rPr>
          <w:rFonts w:hint="eastAsia" w:eastAsia="方正仿宋_GBK"/>
          <w:sz w:val="32"/>
          <w:szCs w:val="32"/>
        </w:rPr>
        <w:t>执</w:t>
      </w:r>
      <w:r>
        <w:rPr>
          <w:rFonts w:eastAsia="方正仿宋_GBK"/>
          <w:sz w:val="32"/>
          <w:szCs w:val="32"/>
        </w:rPr>
        <w:t>业资格，并按规定进行注册。</w:t>
      </w:r>
    </w:p>
    <w:p>
      <w:pPr>
        <w:spacing w:line="580" w:lineRule="exact"/>
        <w:ind w:firstLine="640" w:firstLineChars="200"/>
        <w:rPr>
          <w:rFonts w:eastAsia="方正仿宋_GBK"/>
          <w:sz w:val="32"/>
          <w:szCs w:val="32"/>
        </w:rPr>
      </w:pPr>
      <w:r>
        <w:rPr>
          <w:rFonts w:eastAsia="方正仿宋_GBK"/>
          <w:sz w:val="32"/>
          <w:szCs w:val="32"/>
        </w:rPr>
        <w:t>第八条</w:t>
      </w:r>
      <w:r>
        <w:rPr>
          <w:rFonts w:hint="eastAsia" w:eastAsia="方正仿宋_GBK"/>
          <w:sz w:val="32"/>
          <w:szCs w:val="32"/>
        </w:rPr>
        <w:t xml:space="preserve"> </w:t>
      </w:r>
      <w:r>
        <w:rPr>
          <w:rFonts w:eastAsia="方正仿宋_GBK"/>
          <w:sz w:val="32"/>
          <w:szCs w:val="32"/>
        </w:rPr>
        <w:t>任现职以来年度考核结果应在“合格”以上、医德考评结果在“</w:t>
      </w:r>
      <w:r>
        <w:rPr>
          <w:rFonts w:hint="eastAsia" w:eastAsia="方正仿宋_GBK"/>
          <w:sz w:val="32"/>
          <w:szCs w:val="32"/>
        </w:rPr>
        <w:t>一般</w:t>
      </w:r>
      <w:r>
        <w:rPr>
          <w:rFonts w:eastAsia="方正仿宋_GBK"/>
          <w:sz w:val="32"/>
          <w:szCs w:val="32"/>
        </w:rPr>
        <w:t>”以上</w:t>
      </w:r>
      <w:r>
        <w:rPr>
          <w:rFonts w:hint="eastAsia" w:eastAsia="方正仿宋_GBK"/>
          <w:sz w:val="32"/>
          <w:szCs w:val="32"/>
        </w:rPr>
        <w:t>。</w:t>
      </w:r>
      <w:r>
        <w:rPr>
          <w:rFonts w:eastAsia="方正仿宋_GBK"/>
          <w:sz w:val="32"/>
          <w:szCs w:val="32"/>
        </w:rPr>
        <w:t>出现下列</w:t>
      </w:r>
      <w:r>
        <w:rPr>
          <w:rFonts w:hint="eastAsia" w:eastAsia="方正仿宋_GBK"/>
          <w:sz w:val="32"/>
          <w:szCs w:val="32"/>
        </w:rPr>
        <w:t>情形</w:t>
      </w:r>
      <w:r>
        <w:rPr>
          <w:rFonts w:eastAsia="方正仿宋_GBK"/>
          <w:sz w:val="32"/>
          <w:szCs w:val="32"/>
        </w:rPr>
        <w:t>的，不得申报或延迟申报：</w:t>
      </w:r>
    </w:p>
    <w:p>
      <w:pPr>
        <w:spacing w:line="580" w:lineRule="exact"/>
        <w:ind w:firstLine="640" w:firstLineChars="200"/>
        <w:rPr>
          <w:rFonts w:eastAsia="方正仿宋_GBK"/>
          <w:sz w:val="32"/>
          <w:szCs w:val="32"/>
        </w:rPr>
      </w:pPr>
      <w:r>
        <w:rPr>
          <w:rFonts w:eastAsia="方正仿宋_GBK"/>
          <w:sz w:val="32"/>
          <w:szCs w:val="32"/>
        </w:rPr>
        <w:t>（一）年度考核结果为</w:t>
      </w:r>
      <w:r>
        <w:rPr>
          <w:rFonts w:hint="eastAsia" w:eastAsia="方正仿宋_GBK"/>
          <w:sz w:val="32"/>
          <w:szCs w:val="32"/>
        </w:rPr>
        <w:t>“</w:t>
      </w:r>
      <w:r>
        <w:rPr>
          <w:rFonts w:eastAsia="方正仿宋_GBK"/>
          <w:sz w:val="32"/>
          <w:szCs w:val="32"/>
        </w:rPr>
        <w:t>基本合格</w:t>
      </w:r>
      <w:r>
        <w:rPr>
          <w:rFonts w:hint="eastAsia" w:eastAsia="方正仿宋_GBK"/>
          <w:sz w:val="32"/>
          <w:szCs w:val="32"/>
        </w:rPr>
        <w:t>”</w:t>
      </w:r>
      <w:r>
        <w:rPr>
          <w:rFonts w:eastAsia="方正仿宋_GBK"/>
          <w:sz w:val="32"/>
          <w:szCs w:val="32"/>
        </w:rPr>
        <w:t>、</w:t>
      </w:r>
      <w:r>
        <w:rPr>
          <w:rFonts w:hint="eastAsia" w:eastAsia="方正仿宋_GBK"/>
          <w:sz w:val="32"/>
          <w:szCs w:val="32"/>
        </w:rPr>
        <w:t>“</w:t>
      </w:r>
      <w:r>
        <w:rPr>
          <w:rFonts w:eastAsia="方正仿宋_GBK"/>
          <w:sz w:val="32"/>
          <w:szCs w:val="32"/>
        </w:rPr>
        <w:t>不合格</w:t>
      </w:r>
      <w:r>
        <w:rPr>
          <w:rFonts w:hint="eastAsia" w:eastAsia="方正仿宋_GBK"/>
          <w:sz w:val="32"/>
          <w:szCs w:val="32"/>
        </w:rPr>
        <w:t>”、</w:t>
      </w:r>
      <w:r>
        <w:rPr>
          <w:rFonts w:eastAsia="方正仿宋_GBK"/>
          <w:sz w:val="32"/>
          <w:szCs w:val="32"/>
        </w:rPr>
        <w:t>因受处分</w:t>
      </w:r>
      <w:r>
        <w:rPr>
          <w:rFonts w:hint="eastAsia" w:eastAsia="方正仿宋_GBK"/>
          <w:sz w:val="32"/>
          <w:szCs w:val="32"/>
        </w:rPr>
        <w:t>“</w:t>
      </w:r>
      <w:r>
        <w:rPr>
          <w:rFonts w:eastAsia="方正仿宋_GBK"/>
          <w:sz w:val="32"/>
          <w:szCs w:val="32"/>
        </w:rPr>
        <w:t>不定等次</w:t>
      </w:r>
      <w:r>
        <w:rPr>
          <w:rFonts w:hint="eastAsia" w:eastAsia="方正仿宋_GBK"/>
          <w:sz w:val="32"/>
          <w:szCs w:val="32"/>
        </w:rPr>
        <w:t>”</w:t>
      </w:r>
      <w:r>
        <w:rPr>
          <w:rFonts w:eastAsia="方正仿宋_GBK"/>
          <w:sz w:val="32"/>
          <w:szCs w:val="32"/>
        </w:rPr>
        <w:t>的</w:t>
      </w:r>
      <w:r>
        <w:rPr>
          <w:rFonts w:hint="eastAsia" w:eastAsia="方正仿宋_GBK"/>
          <w:sz w:val="32"/>
          <w:szCs w:val="32"/>
        </w:rPr>
        <w:t>，以及</w:t>
      </w:r>
      <w:r>
        <w:rPr>
          <w:rFonts w:eastAsia="方正仿宋_GBK"/>
          <w:sz w:val="32"/>
          <w:szCs w:val="32"/>
        </w:rPr>
        <w:t>医德考评结果</w:t>
      </w:r>
      <w:r>
        <w:rPr>
          <w:rFonts w:hint="eastAsia" w:eastAsia="方正仿宋_GBK"/>
          <w:sz w:val="32"/>
          <w:szCs w:val="32"/>
        </w:rPr>
        <w:t>为“较差”</w:t>
      </w:r>
      <w:r>
        <w:rPr>
          <w:rFonts w:eastAsia="方正仿宋_GBK"/>
          <w:sz w:val="32"/>
          <w:szCs w:val="32"/>
        </w:rPr>
        <w:t>的</w:t>
      </w:r>
      <w:r>
        <w:rPr>
          <w:rFonts w:hint="eastAsia" w:eastAsia="方正仿宋_GBK"/>
          <w:sz w:val="32"/>
          <w:szCs w:val="32"/>
        </w:rPr>
        <w:t>，延迟1年申报。</w:t>
      </w:r>
    </w:p>
    <w:p>
      <w:pPr>
        <w:spacing w:line="580" w:lineRule="exact"/>
        <w:ind w:firstLine="640" w:firstLineChars="200"/>
        <w:rPr>
          <w:rFonts w:eastAsia="方正仿宋_GBK"/>
          <w:sz w:val="32"/>
          <w:szCs w:val="32"/>
        </w:rPr>
      </w:pPr>
      <w:r>
        <w:rPr>
          <w:rFonts w:eastAsia="方正仿宋_GBK"/>
          <w:sz w:val="32"/>
          <w:szCs w:val="32"/>
        </w:rPr>
        <w:t>（二）受</w:t>
      </w:r>
      <w:r>
        <w:rPr>
          <w:rFonts w:hint="eastAsia" w:eastAsia="方正仿宋_GBK"/>
          <w:sz w:val="32"/>
          <w:szCs w:val="32"/>
        </w:rPr>
        <w:t>党纪、政务处分的</w:t>
      </w:r>
      <w:r>
        <w:rPr>
          <w:rFonts w:eastAsia="方正仿宋_GBK"/>
          <w:sz w:val="32"/>
          <w:szCs w:val="32"/>
        </w:rPr>
        <w:t>，</w:t>
      </w:r>
      <w:r>
        <w:rPr>
          <w:rFonts w:hint="eastAsia" w:eastAsia="方正仿宋_GBK"/>
          <w:sz w:val="32"/>
          <w:szCs w:val="32"/>
        </w:rPr>
        <w:t>在影响期内</w:t>
      </w:r>
      <w:r>
        <w:rPr>
          <w:rFonts w:eastAsia="方正仿宋_GBK"/>
          <w:sz w:val="32"/>
          <w:szCs w:val="32"/>
        </w:rPr>
        <w:t>不得申报专业技术资格。</w:t>
      </w:r>
    </w:p>
    <w:p>
      <w:pPr>
        <w:spacing w:line="580" w:lineRule="exact"/>
        <w:ind w:firstLine="640" w:firstLineChars="200"/>
        <w:rPr>
          <w:rFonts w:eastAsia="方正仿宋_GBK"/>
          <w:sz w:val="32"/>
          <w:szCs w:val="32"/>
        </w:rPr>
      </w:pPr>
      <w:r>
        <w:rPr>
          <w:rFonts w:eastAsia="方正仿宋_GBK"/>
          <w:sz w:val="32"/>
          <w:szCs w:val="32"/>
        </w:rPr>
        <w:t>（三）存在伪造学历、资格证书、任职年限等，以及提供虚假业绩、虚假论文论著、剽窃他人作品和学术成果等弄虚作假行为的，一经查实，一律取消其申报资格。</w:t>
      </w:r>
    </w:p>
    <w:p>
      <w:pPr>
        <w:spacing w:line="580" w:lineRule="exact"/>
        <w:ind w:firstLine="640" w:firstLineChars="200"/>
        <w:rPr>
          <w:rFonts w:eastAsia="方正仿宋_GBK"/>
          <w:sz w:val="32"/>
          <w:szCs w:val="32"/>
        </w:rPr>
      </w:pPr>
      <w:r>
        <w:rPr>
          <w:rFonts w:eastAsia="方正仿宋_GBK"/>
          <w:sz w:val="32"/>
          <w:szCs w:val="32"/>
        </w:rPr>
        <w:t>（四）</w:t>
      </w:r>
      <w:r>
        <w:rPr>
          <w:rFonts w:hint="eastAsia" w:eastAsia="方正仿宋_GBK"/>
          <w:sz w:val="32"/>
          <w:szCs w:val="32"/>
        </w:rPr>
        <w:t>违反法律、法规、规章或者执业规范造成医疗事故的</w:t>
      </w:r>
      <w:r>
        <w:rPr>
          <w:rFonts w:eastAsia="方正仿宋_GBK"/>
          <w:sz w:val="32"/>
          <w:szCs w:val="32"/>
        </w:rPr>
        <w:t>，从认定之日起延迟相应申报年限。其中定性为四级医疗事故</w:t>
      </w:r>
      <w:r>
        <w:rPr>
          <w:rFonts w:hint="eastAsia" w:eastAsia="方正仿宋_GBK"/>
          <w:sz w:val="32"/>
          <w:szCs w:val="32"/>
        </w:rPr>
        <w:t>的</w:t>
      </w:r>
      <w:r>
        <w:rPr>
          <w:rFonts w:eastAsia="方正仿宋_GBK"/>
          <w:sz w:val="32"/>
          <w:szCs w:val="32"/>
        </w:rPr>
        <w:t>延迟1年以上；定性为三级医疗事故</w:t>
      </w:r>
      <w:r>
        <w:rPr>
          <w:rFonts w:hint="eastAsia" w:eastAsia="方正仿宋_GBK"/>
          <w:sz w:val="32"/>
          <w:szCs w:val="32"/>
        </w:rPr>
        <w:t>的</w:t>
      </w:r>
      <w:r>
        <w:rPr>
          <w:rFonts w:eastAsia="方正仿宋_GBK"/>
          <w:sz w:val="32"/>
          <w:szCs w:val="32"/>
        </w:rPr>
        <w:t>延迟2年以上；定性为二级医疗事故</w:t>
      </w:r>
      <w:r>
        <w:rPr>
          <w:rFonts w:hint="eastAsia" w:eastAsia="方正仿宋_GBK"/>
          <w:sz w:val="32"/>
          <w:szCs w:val="32"/>
        </w:rPr>
        <w:t>的</w:t>
      </w:r>
      <w:r>
        <w:rPr>
          <w:rFonts w:eastAsia="方正仿宋_GBK"/>
          <w:sz w:val="32"/>
          <w:szCs w:val="32"/>
        </w:rPr>
        <w:t>延迟3年以上；定性为一级医疗事故</w:t>
      </w:r>
      <w:r>
        <w:rPr>
          <w:rFonts w:hint="eastAsia" w:eastAsia="方正仿宋_GBK"/>
          <w:sz w:val="32"/>
          <w:szCs w:val="32"/>
        </w:rPr>
        <w:t>的</w:t>
      </w:r>
      <w:r>
        <w:rPr>
          <w:rFonts w:eastAsia="方正仿宋_GBK"/>
          <w:sz w:val="32"/>
          <w:szCs w:val="32"/>
        </w:rPr>
        <w:t>延迟4年以上。</w:t>
      </w:r>
    </w:p>
    <w:p>
      <w:pPr>
        <w:spacing w:line="580" w:lineRule="exact"/>
        <w:ind w:firstLine="640" w:firstLineChars="200"/>
        <w:rPr>
          <w:rFonts w:eastAsia="方正仿宋_GBK"/>
          <w:sz w:val="32"/>
          <w:szCs w:val="32"/>
        </w:rPr>
      </w:pPr>
      <w:r>
        <w:rPr>
          <w:rFonts w:eastAsia="方正仿宋_GBK"/>
          <w:sz w:val="32"/>
          <w:szCs w:val="32"/>
        </w:rPr>
        <w:t>（五）任现职期间出现</w:t>
      </w:r>
      <w:r>
        <w:rPr>
          <w:rFonts w:hint="eastAsia" w:eastAsia="方正仿宋_GBK"/>
          <w:sz w:val="32"/>
          <w:szCs w:val="32"/>
        </w:rPr>
        <w:t>多次延迟申报情形</w:t>
      </w:r>
      <w:r>
        <w:rPr>
          <w:rFonts w:eastAsia="方正仿宋_GBK"/>
          <w:sz w:val="32"/>
          <w:szCs w:val="32"/>
        </w:rPr>
        <w:t>的，其延迟年限累加计算。</w:t>
      </w:r>
    </w:p>
    <w:p>
      <w:pPr>
        <w:spacing w:before="315" w:beforeLines="100" w:after="315" w:afterLines="100" w:line="580" w:lineRule="exact"/>
        <w:jc w:val="center"/>
        <w:rPr>
          <w:rFonts w:eastAsia="方正仿宋_GBK"/>
          <w:sz w:val="32"/>
          <w:szCs w:val="32"/>
        </w:rPr>
      </w:pPr>
      <w:r>
        <w:rPr>
          <w:rStyle w:val="12"/>
          <w:rFonts w:hint="eastAsia" w:eastAsia="方正黑体_GBK"/>
          <w:b w:val="0"/>
          <w:sz w:val="32"/>
          <w:szCs w:val="32"/>
        </w:rPr>
        <w:t>第三章  初级资格条件</w:t>
      </w:r>
    </w:p>
    <w:p>
      <w:pPr>
        <w:spacing w:line="580" w:lineRule="exact"/>
        <w:ind w:firstLine="640" w:firstLineChars="200"/>
        <w:rPr>
          <w:rFonts w:eastAsia="方正仿宋_GBK"/>
          <w:sz w:val="32"/>
          <w:szCs w:val="32"/>
        </w:rPr>
      </w:pPr>
      <w:r>
        <w:rPr>
          <w:rFonts w:eastAsia="方正仿宋_GBK"/>
          <w:sz w:val="32"/>
          <w:szCs w:val="32"/>
        </w:rPr>
        <w:t>第九条</w:t>
      </w:r>
      <w:r>
        <w:rPr>
          <w:rFonts w:hint="eastAsia" w:eastAsia="方正仿宋_GBK"/>
          <w:sz w:val="32"/>
          <w:szCs w:val="32"/>
        </w:rPr>
        <w:t xml:space="preserve"> </w:t>
      </w:r>
      <w:r>
        <w:rPr>
          <w:rFonts w:eastAsia="方正仿宋_GBK"/>
          <w:sz w:val="32"/>
          <w:szCs w:val="32"/>
        </w:rPr>
        <w:t>学历、资历要求</w:t>
      </w:r>
    </w:p>
    <w:p>
      <w:pPr>
        <w:spacing w:line="580" w:lineRule="exact"/>
        <w:ind w:firstLine="640" w:firstLineChars="200"/>
        <w:rPr>
          <w:rFonts w:eastAsia="方正仿宋_GBK"/>
          <w:sz w:val="32"/>
          <w:szCs w:val="32"/>
        </w:rPr>
      </w:pPr>
      <w:r>
        <w:rPr>
          <w:rFonts w:hint="eastAsia" w:eastAsia="方正仿宋_GBK"/>
          <w:sz w:val="32"/>
          <w:szCs w:val="32"/>
        </w:rPr>
        <w:t>（一）</w:t>
      </w:r>
      <w:r>
        <w:rPr>
          <w:rFonts w:eastAsia="方正仿宋_GBK"/>
          <w:sz w:val="32"/>
          <w:szCs w:val="32"/>
        </w:rPr>
        <w:t>初级（士）资格</w:t>
      </w:r>
    </w:p>
    <w:p>
      <w:pPr>
        <w:spacing w:line="580" w:lineRule="exact"/>
        <w:ind w:firstLine="640" w:firstLineChars="200"/>
        <w:rPr>
          <w:rFonts w:eastAsia="方正仿宋_GBK"/>
          <w:sz w:val="32"/>
          <w:szCs w:val="32"/>
        </w:rPr>
      </w:pPr>
      <w:r>
        <w:rPr>
          <w:rFonts w:hint="eastAsia" w:eastAsia="方正仿宋_GBK"/>
          <w:sz w:val="32"/>
          <w:szCs w:val="32"/>
        </w:rPr>
        <w:t>取得</w:t>
      </w:r>
      <w:r>
        <w:rPr>
          <w:rFonts w:eastAsia="方正仿宋_GBK"/>
          <w:sz w:val="32"/>
          <w:szCs w:val="32"/>
        </w:rPr>
        <w:t>相应专业</w:t>
      </w:r>
      <w:r>
        <w:rPr>
          <w:rFonts w:hint="eastAsia" w:eastAsia="方正仿宋_GBK"/>
          <w:sz w:val="32"/>
          <w:szCs w:val="32"/>
        </w:rPr>
        <w:t>中专或大学专科</w:t>
      </w:r>
      <w:r>
        <w:rPr>
          <w:rFonts w:eastAsia="方正仿宋_GBK"/>
          <w:sz w:val="32"/>
          <w:szCs w:val="32"/>
        </w:rPr>
        <w:t>普通全日制学历，从事本专业技术工作。</w:t>
      </w:r>
    </w:p>
    <w:p>
      <w:pPr>
        <w:spacing w:line="580" w:lineRule="exact"/>
        <w:ind w:firstLine="640" w:firstLineChars="200"/>
        <w:rPr>
          <w:rFonts w:eastAsia="方正仿宋_GBK"/>
          <w:sz w:val="32"/>
          <w:szCs w:val="32"/>
        </w:rPr>
      </w:pPr>
      <w:r>
        <w:rPr>
          <w:rFonts w:eastAsia="方正仿宋_GBK"/>
          <w:sz w:val="32"/>
          <w:szCs w:val="32"/>
        </w:rPr>
        <w:t>（二）初级（师）资格</w:t>
      </w:r>
    </w:p>
    <w:p>
      <w:pPr>
        <w:spacing w:line="580" w:lineRule="exact"/>
        <w:ind w:firstLine="640" w:firstLineChars="200"/>
        <w:rPr>
          <w:rFonts w:eastAsia="方正仿宋_GBK"/>
          <w:sz w:val="32"/>
          <w:szCs w:val="32"/>
        </w:rPr>
      </w:pPr>
      <w:r>
        <w:rPr>
          <w:rFonts w:hint="eastAsia" w:eastAsia="方正仿宋_GBK"/>
          <w:sz w:val="32"/>
          <w:szCs w:val="32"/>
        </w:rPr>
        <w:t>必须具备下列条件之一：</w:t>
      </w:r>
    </w:p>
    <w:p>
      <w:pPr>
        <w:spacing w:line="580" w:lineRule="exact"/>
        <w:ind w:firstLine="640" w:firstLineChars="200"/>
        <w:rPr>
          <w:rFonts w:eastAsia="方正仿宋_GBK"/>
          <w:sz w:val="32"/>
          <w:szCs w:val="32"/>
        </w:rPr>
      </w:pPr>
      <w:r>
        <w:rPr>
          <w:rFonts w:hint="eastAsia" w:eastAsia="方正仿宋_GBK"/>
          <w:sz w:val="32"/>
          <w:szCs w:val="32"/>
        </w:rPr>
        <w:t>1.</w:t>
      </w:r>
      <w:r>
        <w:rPr>
          <w:rFonts w:eastAsia="方正仿宋_GBK"/>
          <w:sz w:val="32"/>
          <w:szCs w:val="32"/>
        </w:rPr>
        <w:t xml:space="preserve"> </w:t>
      </w:r>
      <w:r>
        <w:rPr>
          <w:rFonts w:hint="eastAsia" w:eastAsia="方正仿宋_GBK"/>
          <w:sz w:val="32"/>
          <w:szCs w:val="32"/>
        </w:rPr>
        <w:t>取得</w:t>
      </w:r>
      <w:r>
        <w:rPr>
          <w:rFonts w:eastAsia="方正仿宋_GBK"/>
          <w:sz w:val="32"/>
          <w:szCs w:val="32"/>
        </w:rPr>
        <w:t>相应专业硕士研究生学历</w:t>
      </w:r>
      <w:r>
        <w:rPr>
          <w:rFonts w:hint="eastAsia" w:eastAsia="方正仿宋_GBK"/>
          <w:sz w:val="32"/>
          <w:szCs w:val="32"/>
        </w:rPr>
        <w:t>或</w:t>
      </w:r>
      <w:r>
        <w:rPr>
          <w:rFonts w:eastAsia="方正仿宋_GBK"/>
          <w:sz w:val="32"/>
          <w:szCs w:val="32"/>
        </w:rPr>
        <w:t>硕士学位，从事本专业技术工作。</w:t>
      </w:r>
    </w:p>
    <w:p>
      <w:pPr>
        <w:spacing w:line="580" w:lineRule="exact"/>
        <w:ind w:firstLine="640" w:firstLineChars="200"/>
        <w:rPr>
          <w:rFonts w:eastAsia="方正仿宋_GBK"/>
          <w:sz w:val="32"/>
          <w:szCs w:val="32"/>
        </w:rPr>
      </w:pPr>
      <w:r>
        <w:rPr>
          <w:rFonts w:hint="eastAsia" w:eastAsia="方正仿宋_GBK"/>
          <w:sz w:val="32"/>
          <w:szCs w:val="32"/>
        </w:rPr>
        <w:t>2.</w:t>
      </w:r>
      <w:r>
        <w:rPr>
          <w:rFonts w:eastAsia="方正仿宋_GBK"/>
          <w:sz w:val="32"/>
          <w:szCs w:val="32"/>
        </w:rPr>
        <w:t xml:space="preserve"> </w:t>
      </w:r>
      <w:r>
        <w:rPr>
          <w:rFonts w:hint="eastAsia" w:eastAsia="方正仿宋_GBK"/>
          <w:sz w:val="32"/>
          <w:szCs w:val="32"/>
        </w:rPr>
        <w:t>取得</w:t>
      </w:r>
      <w:r>
        <w:rPr>
          <w:rFonts w:eastAsia="方正仿宋_GBK"/>
          <w:sz w:val="32"/>
          <w:szCs w:val="32"/>
        </w:rPr>
        <w:t>相应专业大学本科普通全日制学历</w:t>
      </w:r>
      <w:r>
        <w:rPr>
          <w:rFonts w:hint="eastAsia" w:eastAsia="方正仿宋_GBK"/>
          <w:sz w:val="32"/>
          <w:szCs w:val="32"/>
        </w:rPr>
        <w:t>或</w:t>
      </w:r>
      <w:r>
        <w:rPr>
          <w:rFonts w:eastAsia="方正仿宋_GBK"/>
          <w:sz w:val="32"/>
          <w:szCs w:val="32"/>
        </w:rPr>
        <w:t>学士学位，从事本专业技术工作满</w:t>
      </w:r>
      <w:r>
        <w:rPr>
          <w:rFonts w:hint="eastAsia" w:eastAsia="方正仿宋_GBK"/>
          <w:sz w:val="32"/>
          <w:szCs w:val="32"/>
        </w:rPr>
        <w:t>1年</w:t>
      </w:r>
      <w:r>
        <w:rPr>
          <w:rFonts w:eastAsia="方正仿宋_GBK"/>
          <w:sz w:val="32"/>
          <w:szCs w:val="32"/>
        </w:rPr>
        <w:t>。</w:t>
      </w:r>
    </w:p>
    <w:p>
      <w:pPr>
        <w:spacing w:line="580" w:lineRule="exact"/>
        <w:ind w:firstLine="640" w:firstLineChars="200"/>
        <w:rPr>
          <w:rFonts w:eastAsia="方正仿宋_GBK"/>
          <w:sz w:val="32"/>
          <w:szCs w:val="32"/>
        </w:rPr>
      </w:pPr>
      <w:r>
        <w:rPr>
          <w:rFonts w:hint="eastAsia" w:eastAsia="方正仿宋_GBK"/>
          <w:sz w:val="32"/>
          <w:szCs w:val="32"/>
        </w:rPr>
        <w:t>3.</w:t>
      </w:r>
      <w:r>
        <w:rPr>
          <w:rFonts w:eastAsia="方正仿宋_GBK"/>
          <w:sz w:val="32"/>
          <w:szCs w:val="32"/>
        </w:rPr>
        <w:t xml:space="preserve"> </w:t>
      </w:r>
      <w:r>
        <w:rPr>
          <w:rFonts w:hint="eastAsia" w:eastAsia="方正仿宋_GBK"/>
          <w:sz w:val="32"/>
          <w:szCs w:val="32"/>
        </w:rPr>
        <w:t>取得</w:t>
      </w:r>
      <w:r>
        <w:rPr>
          <w:rFonts w:eastAsia="方正仿宋_GBK"/>
          <w:sz w:val="32"/>
          <w:szCs w:val="32"/>
        </w:rPr>
        <w:t>相应专业</w:t>
      </w:r>
      <w:r>
        <w:rPr>
          <w:rFonts w:hint="eastAsia" w:eastAsia="方正仿宋_GBK"/>
          <w:sz w:val="32"/>
          <w:szCs w:val="32"/>
        </w:rPr>
        <w:t>大学专科</w:t>
      </w:r>
      <w:r>
        <w:rPr>
          <w:rFonts w:eastAsia="方正仿宋_GBK"/>
          <w:sz w:val="32"/>
          <w:szCs w:val="32"/>
        </w:rPr>
        <w:t>普通全日制学历，从事本专业技术工作满</w:t>
      </w:r>
      <w:r>
        <w:rPr>
          <w:rFonts w:hint="eastAsia" w:eastAsia="方正仿宋_GBK"/>
          <w:sz w:val="32"/>
          <w:szCs w:val="32"/>
        </w:rPr>
        <w:t>3年，其中报考护师资格须聘任护士满2年。</w:t>
      </w:r>
    </w:p>
    <w:p>
      <w:pPr>
        <w:spacing w:line="580" w:lineRule="exact"/>
        <w:ind w:firstLine="640" w:firstLineChars="200"/>
        <w:rPr>
          <w:rFonts w:eastAsia="方正仿宋_GBK"/>
          <w:sz w:val="32"/>
          <w:szCs w:val="32"/>
        </w:rPr>
      </w:pPr>
      <w:r>
        <w:rPr>
          <w:rFonts w:hint="eastAsia" w:eastAsia="方正仿宋_GBK"/>
          <w:sz w:val="32"/>
          <w:szCs w:val="32"/>
        </w:rPr>
        <w:t>4.</w:t>
      </w:r>
      <w:r>
        <w:rPr>
          <w:rFonts w:eastAsia="方正仿宋_GBK"/>
          <w:sz w:val="32"/>
          <w:szCs w:val="32"/>
        </w:rPr>
        <w:t xml:space="preserve"> </w:t>
      </w:r>
      <w:r>
        <w:rPr>
          <w:rFonts w:hint="eastAsia" w:eastAsia="方正仿宋_GBK"/>
          <w:sz w:val="32"/>
          <w:szCs w:val="32"/>
        </w:rPr>
        <w:t>取得</w:t>
      </w:r>
      <w:r>
        <w:rPr>
          <w:rFonts w:eastAsia="方正仿宋_GBK"/>
          <w:sz w:val="32"/>
          <w:szCs w:val="32"/>
        </w:rPr>
        <w:t>相应专业</w:t>
      </w:r>
      <w:r>
        <w:rPr>
          <w:rFonts w:hint="eastAsia" w:eastAsia="方正仿宋_GBK"/>
          <w:sz w:val="32"/>
          <w:szCs w:val="32"/>
        </w:rPr>
        <w:t>中专</w:t>
      </w:r>
      <w:r>
        <w:rPr>
          <w:rFonts w:eastAsia="方正仿宋_GBK"/>
          <w:sz w:val="32"/>
          <w:szCs w:val="32"/>
        </w:rPr>
        <w:t>普通全日制学历，聘任初级（士）满</w:t>
      </w:r>
      <w:r>
        <w:rPr>
          <w:rFonts w:hint="eastAsia" w:eastAsia="方正仿宋_GBK"/>
          <w:sz w:val="32"/>
          <w:szCs w:val="32"/>
        </w:rPr>
        <w:t>5年。</w:t>
      </w:r>
    </w:p>
    <w:p>
      <w:pPr>
        <w:spacing w:line="580" w:lineRule="exact"/>
        <w:ind w:firstLine="640" w:firstLineChars="200"/>
        <w:rPr>
          <w:rFonts w:eastAsia="方正仿宋_GBK"/>
          <w:sz w:val="32"/>
          <w:szCs w:val="32"/>
        </w:rPr>
      </w:pPr>
      <w:r>
        <w:rPr>
          <w:rFonts w:eastAsia="方正仿宋_GBK"/>
          <w:sz w:val="32"/>
          <w:szCs w:val="32"/>
        </w:rPr>
        <w:t>按照《中华人民共和国医师法》参加医师资格考试，通过执业助理医师考试，可视同取得医士资格；通过执业医师考试，可视同取得医师资格。按照《</w:t>
      </w:r>
      <w:r>
        <w:rPr>
          <w:rFonts w:hint="eastAsia" w:ascii="方正仿宋_GBK" w:hAnsi="方正仿宋_GBK" w:eastAsia="方正仿宋_GBK" w:cs="方正仿宋_GBK"/>
          <w:sz w:val="32"/>
          <w:szCs w:val="32"/>
        </w:rPr>
        <w:t>中华人民共和国</w:t>
      </w:r>
      <w:r>
        <w:rPr>
          <w:rFonts w:eastAsia="方正仿宋_GBK"/>
          <w:sz w:val="32"/>
          <w:szCs w:val="32"/>
        </w:rPr>
        <w:t>中医药法》通过中医医师确有专长人员医师资格考核，可视同取得医师资格。</w:t>
      </w:r>
    </w:p>
    <w:p>
      <w:pPr>
        <w:spacing w:line="580" w:lineRule="exact"/>
        <w:ind w:firstLine="640" w:firstLineChars="200"/>
        <w:rPr>
          <w:rFonts w:eastAsia="方正仿宋_GBK"/>
          <w:sz w:val="32"/>
          <w:szCs w:val="32"/>
        </w:rPr>
      </w:pPr>
      <w:r>
        <w:rPr>
          <w:rFonts w:eastAsia="方正仿宋_GBK"/>
          <w:sz w:val="32"/>
          <w:szCs w:val="32"/>
        </w:rPr>
        <w:t>按照《护士条例》通过护士执业资格考试，可视同取得护士资格；具备大学普通全日制本科及以上学历（学位），从事护士执业活动满一年，可直接聘任护师职称。</w:t>
      </w:r>
    </w:p>
    <w:p>
      <w:pPr>
        <w:spacing w:before="315" w:beforeLines="100" w:after="315" w:afterLines="100" w:line="580" w:lineRule="exact"/>
        <w:jc w:val="center"/>
        <w:rPr>
          <w:rStyle w:val="12"/>
          <w:rFonts w:eastAsia="方正黑体_GBK"/>
          <w:b w:val="0"/>
          <w:bCs w:val="0"/>
          <w:sz w:val="32"/>
          <w:szCs w:val="32"/>
        </w:rPr>
      </w:pPr>
      <w:r>
        <w:rPr>
          <w:rStyle w:val="12"/>
          <w:rFonts w:hint="eastAsia" w:eastAsia="方正黑体_GBK"/>
          <w:b w:val="0"/>
          <w:bCs w:val="0"/>
          <w:sz w:val="32"/>
          <w:szCs w:val="32"/>
        </w:rPr>
        <w:t>第四章  中级资格条件</w:t>
      </w:r>
    </w:p>
    <w:p>
      <w:pPr>
        <w:spacing w:line="580" w:lineRule="exact"/>
        <w:ind w:firstLine="640" w:firstLineChars="200"/>
        <w:rPr>
          <w:rFonts w:eastAsia="方正仿宋_GBK"/>
          <w:sz w:val="32"/>
          <w:szCs w:val="32"/>
        </w:rPr>
      </w:pPr>
      <w:r>
        <w:rPr>
          <w:rFonts w:eastAsia="方正仿宋_GBK"/>
          <w:sz w:val="32"/>
          <w:szCs w:val="32"/>
        </w:rPr>
        <w:t>第十条</w:t>
      </w:r>
      <w:r>
        <w:rPr>
          <w:rFonts w:hint="eastAsia" w:eastAsia="方正仿宋_GBK"/>
          <w:sz w:val="32"/>
          <w:szCs w:val="32"/>
        </w:rPr>
        <w:t xml:space="preserve"> </w:t>
      </w:r>
      <w:r>
        <w:rPr>
          <w:rFonts w:eastAsia="方正仿宋_GBK"/>
          <w:sz w:val="32"/>
          <w:szCs w:val="32"/>
        </w:rPr>
        <w:t>学历、资历要求</w:t>
      </w:r>
    </w:p>
    <w:p>
      <w:pPr>
        <w:spacing w:line="580" w:lineRule="exact"/>
        <w:ind w:firstLine="640" w:firstLineChars="200"/>
        <w:rPr>
          <w:rFonts w:eastAsia="方正仿宋_GBK"/>
          <w:sz w:val="32"/>
          <w:szCs w:val="32"/>
        </w:rPr>
      </w:pPr>
      <w:r>
        <w:rPr>
          <w:rFonts w:hint="eastAsia" w:eastAsia="方正仿宋_GBK"/>
          <w:sz w:val="32"/>
          <w:szCs w:val="32"/>
        </w:rPr>
        <w:t>必须具备下列条件之一：</w:t>
      </w:r>
    </w:p>
    <w:p>
      <w:pPr>
        <w:spacing w:line="580" w:lineRule="exact"/>
        <w:ind w:firstLine="640" w:firstLineChars="200"/>
        <w:rPr>
          <w:rFonts w:eastAsia="方正仿宋_GBK"/>
          <w:sz w:val="32"/>
          <w:szCs w:val="32"/>
        </w:rPr>
      </w:pPr>
      <w:r>
        <w:rPr>
          <w:rFonts w:hint="eastAsia" w:eastAsia="方正仿宋_GBK"/>
          <w:sz w:val="32"/>
          <w:szCs w:val="32"/>
        </w:rPr>
        <w:t>（一）取得</w:t>
      </w:r>
      <w:r>
        <w:rPr>
          <w:rFonts w:eastAsia="方正仿宋_GBK"/>
          <w:sz w:val="32"/>
          <w:szCs w:val="32"/>
        </w:rPr>
        <w:t>相应专业</w:t>
      </w:r>
      <w:r>
        <w:rPr>
          <w:rFonts w:hint="eastAsia" w:eastAsia="方正仿宋_GBK"/>
          <w:sz w:val="32"/>
          <w:szCs w:val="32"/>
        </w:rPr>
        <w:t>博士研究生学历或博士学位，从事本专业技术工作，其中报考主治医师还须取得住院医师规范化培训合格证书。</w:t>
      </w:r>
    </w:p>
    <w:p>
      <w:pPr>
        <w:spacing w:line="580" w:lineRule="exact"/>
        <w:ind w:firstLine="640" w:firstLineChars="200"/>
        <w:rPr>
          <w:rFonts w:eastAsia="方正仿宋_GBK"/>
          <w:sz w:val="32"/>
          <w:szCs w:val="32"/>
        </w:rPr>
      </w:pPr>
      <w:r>
        <w:rPr>
          <w:rFonts w:hint="eastAsia" w:eastAsia="方正仿宋_GBK"/>
          <w:sz w:val="32"/>
          <w:szCs w:val="32"/>
        </w:rPr>
        <w:t>（二）取得</w:t>
      </w:r>
      <w:r>
        <w:rPr>
          <w:rFonts w:eastAsia="方正仿宋_GBK"/>
          <w:sz w:val="32"/>
          <w:szCs w:val="32"/>
        </w:rPr>
        <w:t>相应专业硕士研究生学历</w:t>
      </w:r>
      <w:r>
        <w:rPr>
          <w:rFonts w:hint="eastAsia" w:eastAsia="方正仿宋_GBK"/>
          <w:sz w:val="32"/>
          <w:szCs w:val="32"/>
        </w:rPr>
        <w:t>或</w:t>
      </w:r>
      <w:r>
        <w:rPr>
          <w:rFonts w:eastAsia="方正仿宋_GBK"/>
          <w:sz w:val="32"/>
          <w:szCs w:val="32"/>
        </w:rPr>
        <w:t>硕士学位</w:t>
      </w:r>
      <w:r>
        <w:rPr>
          <w:rFonts w:hint="eastAsia" w:eastAsia="方正仿宋_GBK"/>
          <w:sz w:val="32"/>
          <w:szCs w:val="32"/>
        </w:rPr>
        <w:t>，聘任初级（师）满2年，其中报考主治医师须取得住院医师规范化培训合格证书。</w:t>
      </w:r>
    </w:p>
    <w:p>
      <w:pPr>
        <w:spacing w:line="580" w:lineRule="exact"/>
        <w:ind w:firstLine="640" w:firstLineChars="200"/>
        <w:rPr>
          <w:rFonts w:eastAsia="方正仿宋_GBK"/>
          <w:sz w:val="32"/>
          <w:szCs w:val="32"/>
        </w:rPr>
      </w:pPr>
      <w:r>
        <w:rPr>
          <w:rFonts w:hint="eastAsia" w:eastAsia="方正仿宋_GBK"/>
          <w:sz w:val="32"/>
          <w:szCs w:val="32"/>
        </w:rPr>
        <w:t>（三）取得相应专业本科学历或学士学位，聘任医（药、护、技）师满4年，其中报考主治医师须取得住院医师规范化培训合格证书。取得相应专业本科学历或学士学位，经住院医师规范化培训合格后聘任医师满2年的，也可报考主治医师。</w:t>
      </w:r>
    </w:p>
    <w:p>
      <w:pPr>
        <w:spacing w:line="580" w:lineRule="exact"/>
        <w:ind w:firstLine="640" w:firstLineChars="200"/>
        <w:rPr>
          <w:rFonts w:eastAsia="方正仿宋_GBK"/>
          <w:sz w:val="32"/>
          <w:szCs w:val="32"/>
        </w:rPr>
      </w:pPr>
      <w:r>
        <w:rPr>
          <w:rFonts w:hint="eastAsia" w:eastAsia="方正仿宋_GBK"/>
          <w:sz w:val="32"/>
          <w:szCs w:val="32"/>
        </w:rPr>
        <w:t>（四）取得</w:t>
      </w:r>
      <w:r>
        <w:rPr>
          <w:rFonts w:eastAsia="方正仿宋_GBK"/>
          <w:sz w:val="32"/>
          <w:szCs w:val="32"/>
        </w:rPr>
        <w:t>相应专业</w:t>
      </w:r>
      <w:r>
        <w:rPr>
          <w:rFonts w:hint="eastAsia" w:eastAsia="方正仿宋_GBK"/>
          <w:sz w:val="32"/>
          <w:szCs w:val="32"/>
        </w:rPr>
        <w:t>大学专科</w:t>
      </w:r>
      <w:r>
        <w:rPr>
          <w:rFonts w:eastAsia="方正仿宋_GBK"/>
          <w:sz w:val="32"/>
          <w:szCs w:val="32"/>
        </w:rPr>
        <w:t>学历，</w:t>
      </w:r>
      <w:r>
        <w:rPr>
          <w:rFonts w:hint="eastAsia" w:eastAsia="方正仿宋_GBK"/>
          <w:sz w:val="32"/>
          <w:szCs w:val="32"/>
        </w:rPr>
        <w:t>聘任初级（师）满 6年。</w:t>
      </w:r>
    </w:p>
    <w:p>
      <w:pPr>
        <w:spacing w:line="580" w:lineRule="exact"/>
        <w:ind w:firstLine="640" w:firstLineChars="200"/>
        <w:rPr>
          <w:rFonts w:eastAsia="方正仿宋_GBK"/>
          <w:sz w:val="32"/>
          <w:szCs w:val="32"/>
        </w:rPr>
      </w:pPr>
      <w:r>
        <w:rPr>
          <w:rFonts w:hint="eastAsia" w:eastAsia="方正仿宋_GBK"/>
          <w:sz w:val="32"/>
          <w:szCs w:val="32"/>
        </w:rPr>
        <w:t>（五）取得</w:t>
      </w:r>
      <w:r>
        <w:rPr>
          <w:rFonts w:eastAsia="方正仿宋_GBK"/>
          <w:sz w:val="32"/>
          <w:szCs w:val="32"/>
        </w:rPr>
        <w:t>相应专业</w:t>
      </w:r>
      <w:r>
        <w:rPr>
          <w:rFonts w:hint="eastAsia" w:eastAsia="方正仿宋_GBK"/>
          <w:sz w:val="32"/>
          <w:szCs w:val="32"/>
        </w:rPr>
        <w:t>中专</w:t>
      </w:r>
      <w:r>
        <w:rPr>
          <w:rFonts w:eastAsia="方正仿宋_GBK"/>
          <w:sz w:val="32"/>
          <w:szCs w:val="32"/>
        </w:rPr>
        <w:t>学历，</w:t>
      </w:r>
      <w:r>
        <w:rPr>
          <w:rFonts w:hint="eastAsia" w:eastAsia="方正仿宋_GBK"/>
          <w:sz w:val="32"/>
          <w:szCs w:val="32"/>
        </w:rPr>
        <w:t>聘任初级（师）满 7年。</w:t>
      </w:r>
    </w:p>
    <w:p>
      <w:pPr>
        <w:pStyle w:val="9"/>
        <w:spacing w:before="0" w:beforeAutospacing="0" w:after="0" w:afterAutospacing="0" w:line="580" w:lineRule="exact"/>
        <w:ind w:firstLine="640" w:firstLineChars="200"/>
        <w:jc w:val="both"/>
        <w:rPr>
          <w:rFonts w:hint="eastAsia" w:ascii="Times New Roman" w:hAnsi="Times New Roman" w:eastAsia="方正仿宋_GBK"/>
          <w:sz w:val="32"/>
          <w:szCs w:val="32"/>
        </w:rPr>
      </w:pPr>
      <w:r>
        <w:rPr>
          <w:rFonts w:hint="eastAsia" w:ascii="Times New Roman" w:hAnsi="Times New Roman" w:eastAsia="方正仿宋_GBK"/>
          <w:sz w:val="32"/>
          <w:szCs w:val="32"/>
        </w:rPr>
        <w:t>（</w:t>
      </w:r>
      <w:r>
        <w:rPr>
          <w:rFonts w:hint="eastAsia" w:eastAsia="方正仿宋_GBK"/>
          <w:sz w:val="32"/>
          <w:szCs w:val="32"/>
        </w:rPr>
        <w:t>六</w:t>
      </w:r>
      <w:r>
        <w:rPr>
          <w:rFonts w:hint="eastAsia" w:ascii="Times New Roman" w:hAnsi="Times New Roman" w:eastAsia="方正仿宋_GBK"/>
          <w:sz w:val="32"/>
          <w:szCs w:val="32"/>
        </w:rPr>
        <w:t>）</w:t>
      </w:r>
      <w:r>
        <w:rPr>
          <w:rFonts w:ascii="Times New Roman" w:hAnsi="Times New Roman" w:eastAsia="方正仿宋_GBK"/>
          <w:sz w:val="32"/>
          <w:szCs w:val="32"/>
        </w:rPr>
        <w:t>报考全科医学、全科医学（中医类）、社区护理专业，且受聘在乡镇卫生院（含达到二级医院标准的农村区域性医疗卫生中心）、社区卫生服务中心（站）、村卫生室等基层医疗卫生机构的人员可提前1年报考，公共企事业单位</w:t>
      </w:r>
      <w:r>
        <w:rPr>
          <w:rFonts w:hint="eastAsia" w:ascii="Times New Roman" w:hAnsi="Times New Roman" w:eastAsia="方正仿宋_GBK"/>
          <w:sz w:val="32"/>
          <w:szCs w:val="32"/>
        </w:rPr>
        <w:t>以及社会资本举办的门诊部（所）、医务室和医养结合机构可参照执行。</w:t>
      </w:r>
    </w:p>
    <w:p>
      <w:pPr>
        <w:pStyle w:val="9"/>
        <w:spacing w:before="0" w:beforeAutospacing="0" w:after="0" w:afterAutospacing="0" w:line="580" w:lineRule="exact"/>
        <w:ind w:firstLine="640" w:firstLineChars="200"/>
        <w:jc w:val="both"/>
        <w:rPr>
          <w:rFonts w:ascii="Times New Roman" w:hAnsi="Times New Roman" w:eastAsia="方正仿宋_GBK"/>
          <w:sz w:val="32"/>
          <w:szCs w:val="32"/>
        </w:rPr>
      </w:pPr>
      <w:r>
        <w:rPr>
          <w:rFonts w:hint="eastAsia" w:eastAsia="方正仿宋_GBK"/>
          <w:sz w:val="32"/>
          <w:szCs w:val="32"/>
        </w:rPr>
        <w:t>（</w:t>
      </w:r>
      <w:r>
        <w:rPr>
          <w:rFonts w:hint="eastAsia" w:ascii="Times New Roman" w:hAnsi="Times New Roman" w:eastAsia="方正仿宋_GBK"/>
          <w:sz w:val="32"/>
          <w:szCs w:val="32"/>
        </w:rPr>
        <w:t>七</w:t>
      </w:r>
      <w:r>
        <w:rPr>
          <w:rFonts w:hint="eastAsia" w:eastAsia="方正仿宋_GBK"/>
          <w:sz w:val="32"/>
          <w:szCs w:val="32"/>
        </w:rPr>
        <w:t>）</w:t>
      </w:r>
      <w:r>
        <w:rPr>
          <w:rFonts w:ascii="Times New Roman" w:hAnsi="Times New Roman" w:eastAsia="方正仿宋_GBK"/>
          <w:sz w:val="32"/>
          <w:szCs w:val="32"/>
        </w:rPr>
        <w:t>相应专业普通全日制本科及以上学历毕业生参加住院医师规范化培训合格，并到乡镇卫生院、社区卫生服务中心、村卫生室等政府举办的基层医疗卫生机构从事医师工作。</w:t>
      </w:r>
    </w:p>
    <w:p>
      <w:pPr>
        <w:pStyle w:val="9"/>
        <w:spacing w:before="0" w:beforeAutospacing="0" w:after="0" w:afterAutospacing="0" w:line="580" w:lineRule="exact"/>
        <w:ind w:firstLine="640" w:firstLineChars="200"/>
        <w:rPr>
          <w:rFonts w:ascii="Times New Roman" w:hAnsi="Times New Roman" w:eastAsia="方正仿宋_GBK"/>
          <w:sz w:val="32"/>
          <w:szCs w:val="32"/>
        </w:rPr>
      </w:pPr>
    </w:p>
    <w:p>
      <w:pPr>
        <w:spacing w:before="315" w:beforeLines="100" w:after="315" w:afterLines="100" w:line="580" w:lineRule="exact"/>
        <w:jc w:val="center"/>
        <w:rPr>
          <w:rStyle w:val="12"/>
          <w:rFonts w:eastAsia="方正黑体_GBK"/>
          <w:b w:val="0"/>
          <w:sz w:val="32"/>
          <w:szCs w:val="32"/>
        </w:rPr>
      </w:pPr>
      <w:r>
        <w:rPr>
          <w:rStyle w:val="12"/>
          <w:rFonts w:eastAsia="方正黑体_GBK"/>
          <w:b w:val="0"/>
          <w:sz w:val="32"/>
          <w:szCs w:val="32"/>
        </w:rPr>
        <w:t>第</w:t>
      </w:r>
      <w:r>
        <w:rPr>
          <w:rStyle w:val="12"/>
          <w:rFonts w:hint="eastAsia" w:eastAsia="方正黑体_GBK"/>
          <w:b w:val="0"/>
          <w:sz w:val="32"/>
          <w:szCs w:val="32"/>
        </w:rPr>
        <w:t>五</w:t>
      </w:r>
      <w:r>
        <w:rPr>
          <w:rStyle w:val="12"/>
          <w:rFonts w:eastAsia="方正黑体_GBK"/>
          <w:b w:val="0"/>
          <w:sz w:val="32"/>
          <w:szCs w:val="32"/>
        </w:rPr>
        <w:t xml:space="preserve">章  </w:t>
      </w:r>
      <w:r>
        <w:rPr>
          <w:rStyle w:val="12"/>
          <w:rFonts w:hint="eastAsia" w:eastAsia="方正黑体_GBK"/>
          <w:b w:val="0"/>
          <w:sz w:val="32"/>
          <w:szCs w:val="32"/>
        </w:rPr>
        <w:t>副高级资格条件</w:t>
      </w:r>
    </w:p>
    <w:p>
      <w:pPr>
        <w:spacing w:line="580" w:lineRule="exact"/>
        <w:ind w:firstLine="640" w:firstLineChars="200"/>
        <w:rPr>
          <w:rFonts w:eastAsia="方正仿宋_GBK"/>
          <w:sz w:val="32"/>
          <w:szCs w:val="32"/>
        </w:rPr>
      </w:pPr>
      <w:r>
        <w:rPr>
          <w:rFonts w:eastAsia="方正仿宋_GBK"/>
          <w:sz w:val="32"/>
          <w:szCs w:val="32"/>
        </w:rPr>
        <w:t>第十一条 学历、资历要求</w:t>
      </w:r>
    </w:p>
    <w:p>
      <w:pPr>
        <w:spacing w:line="580" w:lineRule="exact"/>
        <w:ind w:firstLine="640" w:firstLineChars="200"/>
        <w:rPr>
          <w:rFonts w:eastAsia="方正仿宋_GBK"/>
          <w:sz w:val="32"/>
          <w:szCs w:val="32"/>
        </w:rPr>
      </w:pPr>
      <w:r>
        <w:rPr>
          <w:rFonts w:eastAsia="方正仿宋_GBK"/>
          <w:sz w:val="32"/>
          <w:szCs w:val="32"/>
        </w:rPr>
        <w:t>必须具备下列条件之一：</w:t>
      </w:r>
    </w:p>
    <w:p>
      <w:pPr>
        <w:spacing w:line="580" w:lineRule="exact"/>
        <w:ind w:firstLine="640" w:firstLineChars="200"/>
        <w:rPr>
          <w:rFonts w:eastAsia="方正仿宋_GBK"/>
          <w:sz w:val="32"/>
          <w:szCs w:val="32"/>
        </w:rPr>
      </w:pPr>
      <w:r>
        <w:rPr>
          <w:rFonts w:eastAsia="方正仿宋_GBK"/>
          <w:sz w:val="32"/>
          <w:szCs w:val="32"/>
        </w:rPr>
        <w:t>（一）</w:t>
      </w:r>
      <w:r>
        <w:rPr>
          <w:rFonts w:hint="eastAsia" w:eastAsia="方正仿宋_GBK"/>
          <w:sz w:val="32"/>
          <w:szCs w:val="32"/>
        </w:rPr>
        <w:t>取得本专业大学本科及以上学历或学位，聘任中级资格满 5年。</w:t>
      </w:r>
    </w:p>
    <w:p>
      <w:pPr>
        <w:spacing w:line="580" w:lineRule="exact"/>
        <w:ind w:firstLine="640" w:firstLineChars="200"/>
        <w:rPr>
          <w:rFonts w:eastAsia="方正仿宋_GBK"/>
          <w:sz w:val="32"/>
          <w:szCs w:val="32"/>
        </w:rPr>
      </w:pPr>
      <w:r>
        <w:rPr>
          <w:rFonts w:eastAsia="方正仿宋_GBK"/>
          <w:sz w:val="32"/>
          <w:szCs w:val="32"/>
        </w:rPr>
        <w:t>（二）</w:t>
      </w:r>
      <w:r>
        <w:rPr>
          <w:rFonts w:hint="eastAsia" w:eastAsia="方正仿宋_GBK"/>
          <w:sz w:val="32"/>
          <w:szCs w:val="32"/>
        </w:rPr>
        <w:t>取得本专业</w:t>
      </w:r>
      <w:r>
        <w:rPr>
          <w:rFonts w:eastAsia="方正仿宋_GBK"/>
          <w:sz w:val="32"/>
          <w:szCs w:val="32"/>
        </w:rPr>
        <w:t>大学专科学历，</w:t>
      </w:r>
      <w:r>
        <w:rPr>
          <w:rFonts w:hint="eastAsia" w:eastAsia="方正仿宋_GBK"/>
          <w:sz w:val="32"/>
          <w:szCs w:val="32"/>
        </w:rPr>
        <w:t>聘任中级资格满7年</w:t>
      </w:r>
      <w:r>
        <w:rPr>
          <w:rFonts w:eastAsia="方正仿宋_GBK"/>
          <w:sz w:val="32"/>
          <w:szCs w:val="32"/>
        </w:rPr>
        <w:t>，</w:t>
      </w:r>
      <w:r>
        <w:rPr>
          <w:rFonts w:hint="eastAsia" w:eastAsia="方正仿宋_GBK"/>
          <w:sz w:val="32"/>
          <w:szCs w:val="32"/>
        </w:rPr>
        <w:t>且从事本专业工作满2</w:t>
      </w:r>
      <w:r>
        <w:rPr>
          <w:rFonts w:eastAsia="方正仿宋_GBK"/>
          <w:sz w:val="32"/>
          <w:szCs w:val="32"/>
        </w:rPr>
        <w:t>0</w:t>
      </w:r>
      <w:r>
        <w:rPr>
          <w:rFonts w:hint="eastAsia" w:eastAsia="方正仿宋_GBK"/>
          <w:sz w:val="32"/>
          <w:szCs w:val="32"/>
        </w:rPr>
        <w:t>年，其中申报副主任医师须</w:t>
      </w:r>
      <w:r>
        <w:rPr>
          <w:rFonts w:eastAsia="方正仿宋_GBK"/>
          <w:sz w:val="32"/>
          <w:szCs w:val="32"/>
        </w:rPr>
        <w:t>受聘在乡镇卫生院（含达到二级医院标准的农村区域性医疗卫生中心）、社区卫生服务中心（站）、村卫生室等基层医疗卫生机构，公共企事业单位</w:t>
      </w:r>
      <w:r>
        <w:rPr>
          <w:rFonts w:hint="eastAsia" w:eastAsia="方正仿宋_GBK"/>
          <w:sz w:val="32"/>
          <w:szCs w:val="32"/>
        </w:rPr>
        <w:t>以及社会资本举办的门诊部（所）、医务室和医养结合机构可参照执行。</w:t>
      </w:r>
    </w:p>
    <w:p>
      <w:pPr>
        <w:spacing w:line="580" w:lineRule="exact"/>
        <w:ind w:firstLine="640" w:firstLineChars="200"/>
        <w:rPr>
          <w:rFonts w:eastAsia="方正仿宋_GBK"/>
          <w:sz w:val="32"/>
          <w:szCs w:val="32"/>
        </w:rPr>
      </w:pPr>
      <w:r>
        <w:rPr>
          <w:rFonts w:eastAsia="方正仿宋_GBK"/>
          <w:sz w:val="32"/>
          <w:szCs w:val="32"/>
        </w:rPr>
        <w:t>第</w:t>
      </w:r>
      <w:r>
        <w:rPr>
          <w:rFonts w:hint="eastAsia" w:eastAsia="方正仿宋_GBK"/>
          <w:sz w:val="32"/>
          <w:szCs w:val="32"/>
        </w:rPr>
        <w:t>十二</w:t>
      </w:r>
      <w:r>
        <w:rPr>
          <w:rFonts w:eastAsia="方正仿宋_GBK"/>
          <w:sz w:val="32"/>
          <w:szCs w:val="32"/>
        </w:rPr>
        <w:t>条</w:t>
      </w:r>
      <w:r>
        <w:rPr>
          <w:rFonts w:hint="eastAsia" w:eastAsia="方正仿宋_GBK"/>
          <w:sz w:val="32"/>
          <w:szCs w:val="32"/>
          <w:lang w:val="en-US" w:eastAsia="zh-CN"/>
        </w:rPr>
        <w:t xml:space="preserve"> </w:t>
      </w:r>
      <w:r>
        <w:rPr>
          <w:rFonts w:eastAsia="方正仿宋_GBK"/>
          <w:sz w:val="32"/>
          <w:szCs w:val="32"/>
        </w:rPr>
        <w:t>继续教育要求</w:t>
      </w:r>
    </w:p>
    <w:p>
      <w:pPr>
        <w:spacing w:line="580" w:lineRule="exact"/>
        <w:ind w:firstLine="640" w:firstLineChars="200"/>
        <w:rPr>
          <w:rFonts w:eastAsia="方正仿宋_GBK"/>
          <w:sz w:val="32"/>
          <w:szCs w:val="32"/>
        </w:rPr>
      </w:pPr>
      <w:r>
        <w:rPr>
          <w:rFonts w:eastAsia="方正仿宋_GBK"/>
          <w:sz w:val="32"/>
          <w:szCs w:val="32"/>
        </w:rPr>
        <w:t>按照《省专业技术人员继续教育条例》的要求，结合本专业实际工作需要，参加继续教育，并将继续教育情况作为高级职称评审的重要条件。</w:t>
      </w:r>
    </w:p>
    <w:p>
      <w:pPr>
        <w:spacing w:line="580" w:lineRule="exact"/>
        <w:ind w:firstLine="640" w:firstLineChars="200"/>
        <w:rPr>
          <w:rFonts w:eastAsia="方正仿宋_GBK"/>
          <w:sz w:val="32"/>
          <w:szCs w:val="32"/>
        </w:rPr>
      </w:pPr>
      <w:r>
        <w:rPr>
          <w:rFonts w:eastAsia="方正仿宋_GBK"/>
          <w:sz w:val="32"/>
          <w:szCs w:val="32"/>
        </w:rPr>
        <w:t>第十</w:t>
      </w:r>
      <w:r>
        <w:rPr>
          <w:rFonts w:hint="eastAsia" w:eastAsia="方正仿宋_GBK"/>
          <w:sz w:val="32"/>
          <w:szCs w:val="32"/>
        </w:rPr>
        <w:t>三</w:t>
      </w:r>
      <w:r>
        <w:rPr>
          <w:rFonts w:eastAsia="方正仿宋_GBK"/>
          <w:sz w:val="32"/>
          <w:szCs w:val="32"/>
        </w:rPr>
        <w:t>条</w:t>
      </w:r>
      <w:r>
        <w:rPr>
          <w:rFonts w:hint="eastAsia" w:eastAsia="方正仿宋_GBK"/>
          <w:sz w:val="32"/>
          <w:szCs w:val="32"/>
          <w:lang w:val="en-US" w:eastAsia="zh-CN"/>
        </w:rPr>
        <w:t xml:space="preserve"> </w:t>
      </w:r>
      <w:r>
        <w:rPr>
          <w:rFonts w:eastAsia="方正仿宋_GBK"/>
          <w:sz w:val="32"/>
          <w:szCs w:val="32"/>
        </w:rPr>
        <w:t>专业理论知识要求</w:t>
      </w:r>
    </w:p>
    <w:p>
      <w:pPr>
        <w:spacing w:line="580" w:lineRule="exact"/>
        <w:ind w:firstLine="640" w:firstLineChars="200"/>
        <w:rPr>
          <w:rFonts w:eastAsia="方正仿宋_GBK"/>
          <w:sz w:val="32"/>
          <w:szCs w:val="32"/>
        </w:rPr>
      </w:pPr>
      <w:r>
        <w:rPr>
          <w:rFonts w:eastAsia="方正仿宋_GBK"/>
          <w:sz w:val="32"/>
          <w:szCs w:val="32"/>
        </w:rPr>
        <w:t>系统掌握本专业基础理论和专业技术知识，熟悉相应专业、学科的理论和技术，了解国内外本学科及相关学科的发展趋势，并对本专业领域内的疑难问题有研究能力。</w:t>
      </w:r>
    </w:p>
    <w:p>
      <w:pPr>
        <w:spacing w:line="580" w:lineRule="exact"/>
        <w:ind w:firstLine="640" w:firstLineChars="200"/>
        <w:rPr>
          <w:rFonts w:eastAsia="方正仿宋_GBK"/>
          <w:sz w:val="32"/>
          <w:szCs w:val="32"/>
        </w:rPr>
      </w:pPr>
      <w:r>
        <w:rPr>
          <w:rFonts w:eastAsia="方正仿宋_GBK"/>
          <w:sz w:val="32"/>
          <w:szCs w:val="32"/>
        </w:rPr>
        <w:t>第十</w:t>
      </w:r>
      <w:r>
        <w:rPr>
          <w:rFonts w:hint="eastAsia" w:eastAsia="方正仿宋_GBK"/>
          <w:sz w:val="32"/>
          <w:szCs w:val="32"/>
        </w:rPr>
        <w:t>四</w:t>
      </w:r>
      <w:r>
        <w:rPr>
          <w:rFonts w:eastAsia="方正仿宋_GBK"/>
          <w:sz w:val="32"/>
          <w:szCs w:val="32"/>
        </w:rPr>
        <w:t>条</w:t>
      </w:r>
      <w:r>
        <w:rPr>
          <w:rFonts w:hint="eastAsia" w:eastAsia="方正仿宋_GBK"/>
          <w:sz w:val="32"/>
          <w:szCs w:val="32"/>
          <w:lang w:val="en-US" w:eastAsia="zh-CN"/>
        </w:rPr>
        <w:t xml:space="preserve"> </w:t>
      </w:r>
      <w:r>
        <w:rPr>
          <w:rFonts w:eastAsia="方正仿宋_GBK"/>
          <w:sz w:val="32"/>
          <w:szCs w:val="32"/>
        </w:rPr>
        <w:t>专业技术工作经历（能力）要求</w:t>
      </w:r>
    </w:p>
    <w:p>
      <w:pPr>
        <w:spacing w:line="580" w:lineRule="exact"/>
        <w:ind w:firstLine="640" w:firstLineChars="200"/>
        <w:rPr>
          <w:rFonts w:eastAsia="方正仿宋_GBK"/>
          <w:sz w:val="32"/>
          <w:szCs w:val="32"/>
        </w:rPr>
      </w:pPr>
      <w:r>
        <w:rPr>
          <w:rFonts w:hint="eastAsia" w:eastAsia="方正仿宋_GBK"/>
          <w:sz w:val="32"/>
          <w:szCs w:val="32"/>
        </w:rPr>
        <w:t>1</w:t>
      </w:r>
      <w:r>
        <w:rPr>
          <w:rFonts w:eastAsia="方正仿宋_GBK"/>
          <w:sz w:val="32"/>
          <w:szCs w:val="32"/>
        </w:rPr>
        <w:t>.</w:t>
      </w:r>
      <w:r>
        <w:rPr>
          <w:rFonts w:hint="eastAsia" w:eastAsia="方正仿宋_GBK"/>
          <w:sz w:val="32"/>
          <w:szCs w:val="32"/>
        </w:rPr>
        <w:t>副主任医师</w:t>
      </w:r>
    </w:p>
    <w:p>
      <w:pPr>
        <w:spacing w:line="580" w:lineRule="exact"/>
        <w:ind w:firstLine="640" w:firstLineChars="200"/>
        <w:rPr>
          <w:rFonts w:eastAsia="方正仿宋_GBK"/>
          <w:sz w:val="32"/>
          <w:szCs w:val="32"/>
        </w:rPr>
      </w:pPr>
      <w:r>
        <w:rPr>
          <w:rFonts w:eastAsia="方正仿宋_GBK"/>
          <w:sz w:val="32"/>
          <w:szCs w:val="32"/>
        </w:rPr>
        <w:t>担任</w:t>
      </w:r>
      <w:r>
        <w:rPr>
          <w:rFonts w:hint="eastAsia" w:eastAsia="方正仿宋_GBK"/>
          <w:sz w:val="32"/>
          <w:szCs w:val="32"/>
        </w:rPr>
        <w:t>主治（管）医师</w:t>
      </w:r>
      <w:r>
        <w:rPr>
          <w:rFonts w:eastAsia="方正仿宋_GBK"/>
          <w:sz w:val="32"/>
          <w:szCs w:val="32"/>
        </w:rPr>
        <w:t>期间，平均每年参加本专业工作时间不少于40周</w:t>
      </w:r>
      <w:r>
        <w:rPr>
          <w:rFonts w:hint="eastAsia" w:eastAsia="方正仿宋_GBK"/>
          <w:sz w:val="32"/>
          <w:szCs w:val="32"/>
        </w:rPr>
        <w:t>，并</w:t>
      </w:r>
      <w:r>
        <w:rPr>
          <w:rFonts w:eastAsia="方正仿宋_GBK"/>
          <w:sz w:val="32"/>
          <w:szCs w:val="32"/>
        </w:rPr>
        <w:t>完成规定的工作数量要求</w:t>
      </w:r>
      <w:r>
        <w:rPr>
          <w:rFonts w:hint="eastAsia" w:eastAsia="方正仿宋_GBK"/>
          <w:sz w:val="32"/>
          <w:szCs w:val="32"/>
        </w:rPr>
        <w:t>（详见附表1）</w:t>
      </w:r>
      <w:r>
        <w:rPr>
          <w:rFonts w:eastAsia="方正仿宋_GBK"/>
          <w:sz w:val="32"/>
          <w:szCs w:val="32"/>
        </w:rPr>
        <w:t>。</w:t>
      </w:r>
    </w:p>
    <w:p>
      <w:pPr>
        <w:spacing w:line="580" w:lineRule="exact"/>
        <w:ind w:firstLine="640" w:firstLineChars="200"/>
        <w:rPr>
          <w:rFonts w:eastAsia="方正仿宋_GBK"/>
          <w:sz w:val="32"/>
          <w:szCs w:val="32"/>
        </w:rPr>
      </w:pPr>
      <w:r>
        <w:rPr>
          <w:rFonts w:hint="eastAsia" w:eastAsia="方正仿宋_GBK"/>
          <w:sz w:val="32"/>
          <w:szCs w:val="32"/>
        </w:rPr>
        <w:t>应当有累计一年以上在县级以下或者对口支援的医疗卫生机构提供医疗卫生服务的经历。</w:t>
      </w:r>
    </w:p>
    <w:p>
      <w:pPr>
        <w:spacing w:line="580" w:lineRule="exact"/>
        <w:ind w:firstLine="640" w:firstLineChars="200"/>
        <w:rPr>
          <w:rFonts w:eastAsia="方正仿宋_GBK"/>
          <w:sz w:val="32"/>
          <w:szCs w:val="32"/>
        </w:rPr>
      </w:pPr>
      <w:r>
        <w:rPr>
          <w:rFonts w:eastAsia="方正仿宋_GBK"/>
          <w:sz w:val="32"/>
          <w:szCs w:val="32"/>
        </w:rPr>
        <w:t>临床、口腔、中医类别：熟练掌握本专业基础理论和专业知识，熟悉本专业国内外现状及发展趋势，不断吸取新理论、新知识、新技术并用于医疗实践，熟悉本专业相关的法律、法规、标准与技术规范。具有较丰富的本专业工作经验，能熟练正确地救治危重病人，具有指导本专业下级医师的能力。强化病案作为评价载体，采取随机抽取与个人提供相结合的方式，设病床的相关专业申报人员应提供5份本人主治或者主持的、能够反映其专业技术水平的抢救、死亡或疑难病案，加强对临床医生执业能力的评价。</w:t>
      </w:r>
    </w:p>
    <w:p>
      <w:pPr>
        <w:spacing w:line="580" w:lineRule="exact"/>
        <w:ind w:firstLine="640" w:firstLineChars="200"/>
        <w:rPr>
          <w:rFonts w:eastAsia="方正仿宋_GBK"/>
          <w:sz w:val="32"/>
          <w:szCs w:val="32"/>
        </w:rPr>
      </w:pPr>
      <w:r>
        <w:rPr>
          <w:rFonts w:eastAsia="方正仿宋_GBK"/>
          <w:sz w:val="32"/>
          <w:szCs w:val="32"/>
        </w:rPr>
        <w:t>基于病案首页数据，重点从技术能力、质量安全、资源利用、患者管理四个维度，利用诊治病种范围和例数、手术级别和例数、术后并发症发生率、单病种平均住院日、单病种次均费用等指标，科学准确评价医生的执业能力和水平。其中，中医专业还应基于中医病案首页数据，重点围绕以中医为主治疗的出院患者比例、中药饮片处方比、中医治疗疑难危重病患者数量、中医非药物疗法使用率等中医药特色指标，评价中医医师的中医药诊疗能力和水平。</w:t>
      </w:r>
    </w:p>
    <w:p>
      <w:pPr>
        <w:spacing w:line="580" w:lineRule="exact"/>
        <w:ind w:firstLine="640" w:firstLineChars="200"/>
        <w:rPr>
          <w:rFonts w:eastAsia="方正仿宋_GBK"/>
          <w:sz w:val="32"/>
          <w:szCs w:val="32"/>
        </w:rPr>
      </w:pPr>
      <w:r>
        <w:rPr>
          <w:rFonts w:eastAsia="方正仿宋_GBK"/>
          <w:sz w:val="32"/>
          <w:szCs w:val="32"/>
        </w:rPr>
        <w:t>公共卫生类别：熟练掌握本专业基础理论和专业知识，熟悉本专业国内外现状及发展趋势，不断吸取新理论、新知识、新技术并推广应用，熟悉与本专业相关的法律、法规、标准与技术规范。具有较丰富的本专业工作经验，能独立解决复杂或重大技术问题，具有指导本专业下级医师的能力。</w:t>
      </w:r>
    </w:p>
    <w:p>
      <w:pPr>
        <w:spacing w:line="580" w:lineRule="exact"/>
        <w:ind w:firstLine="640" w:firstLineChars="200"/>
        <w:rPr>
          <w:rFonts w:eastAsia="方正仿宋_GBK"/>
          <w:sz w:val="32"/>
          <w:szCs w:val="32"/>
        </w:rPr>
      </w:pPr>
      <w:r>
        <w:rPr>
          <w:rFonts w:eastAsia="方正仿宋_GBK"/>
          <w:sz w:val="32"/>
          <w:szCs w:val="32"/>
        </w:rPr>
        <w:t>基于参与的业务工作内容，重点考核公共卫生现场能力、计划方案制定能力、技术规范和标准指南制定能力、业务管理技术报告撰写能力、健康教育和科普能力、循证决策能力、专业技术成果产出、科研教学能力、完成基本公共卫生服务项目的能力等方面，包含现场流行病学调查报告、疾病与健康危害因素监测（分析预警）报告、制定公共卫生应急处置预案和风险评估报告、业务工作计划、技术指导方案制定等内容。</w:t>
      </w:r>
    </w:p>
    <w:p>
      <w:pPr>
        <w:spacing w:line="580" w:lineRule="exact"/>
        <w:ind w:firstLine="640" w:firstLineChars="200"/>
        <w:rPr>
          <w:rFonts w:eastAsia="方正仿宋_GBK"/>
          <w:sz w:val="32"/>
          <w:szCs w:val="32"/>
        </w:rPr>
      </w:pPr>
      <w:r>
        <w:rPr>
          <w:rFonts w:hint="eastAsia" w:eastAsia="方正仿宋_GBK"/>
          <w:sz w:val="32"/>
          <w:szCs w:val="32"/>
        </w:rPr>
        <w:t>2</w:t>
      </w:r>
      <w:r>
        <w:rPr>
          <w:rFonts w:eastAsia="方正仿宋_GBK"/>
          <w:sz w:val="32"/>
          <w:szCs w:val="32"/>
        </w:rPr>
        <w:t>.</w:t>
      </w:r>
      <w:r>
        <w:rPr>
          <w:rFonts w:hint="eastAsia" w:eastAsia="方正仿宋_GBK"/>
          <w:sz w:val="32"/>
          <w:szCs w:val="32"/>
        </w:rPr>
        <w:t>副主任护师</w:t>
      </w:r>
    </w:p>
    <w:p>
      <w:pPr>
        <w:spacing w:line="580" w:lineRule="exact"/>
        <w:ind w:firstLine="640" w:firstLineChars="200"/>
        <w:rPr>
          <w:rFonts w:eastAsia="方正仿宋_GBK"/>
          <w:sz w:val="32"/>
          <w:szCs w:val="32"/>
        </w:rPr>
      </w:pPr>
      <w:r>
        <w:rPr>
          <w:rFonts w:eastAsia="方正仿宋_GBK"/>
          <w:sz w:val="32"/>
          <w:szCs w:val="32"/>
        </w:rPr>
        <w:t>担任主管护师期间，平均每年参加临床护理、护理管理、护理教学工作时间总计不少于40周，病历首页责任护士和质控护士记录任期内累计不少于480条（急诊、重症、手术室、血透、导管室等科室从相应记录单提取护士记录）</w:t>
      </w:r>
      <w:r>
        <w:rPr>
          <w:rFonts w:hint="eastAsia" w:eastAsia="方正仿宋_GBK"/>
          <w:sz w:val="32"/>
          <w:szCs w:val="32"/>
        </w:rPr>
        <w:t>，并</w:t>
      </w:r>
      <w:r>
        <w:rPr>
          <w:rFonts w:eastAsia="方正仿宋_GBK"/>
          <w:sz w:val="32"/>
          <w:szCs w:val="32"/>
        </w:rPr>
        <w:t>完成规定的工作数量要求（详见附表</w:t>
      </w:r>
      <w:r>
        <w:rPr>
          <w:rFonts w:hint="eastAsia" w:eastAsia="方正仿宋_GBK"/>
          <w:sz w:val="32"/>
          <w:szCs w:val="32"/>
        </w:rPr>
        <w:t>2</w:t>
      </w:r>
      <w:r>
        <w:rPr>
          <w:rFonts w:eastAsia="方正仿宋_GBK"/>
          <w:sz w:val="32"/>
          <w:szCs w:val="32"/>
        </w:rPr>
        <w:t>）</w:t>
      </w:r>
      <w:r>
        <w:rPr>
          <w:rFonts w:hint="eastAsia" w:eastAsia="方正仿宋_GBK"/>
          <w:sz w:val="32"/>
          <w:szCs w:val="32"/>
        </w:rPr>
        <w:t>。</w:t>
      </w:r>
    </w:p>
    <w:p>
      <w:pPr>
        <w:spacing w:line="580" w:lineRule="exact"/>
        <w:ind w:firstLine="640" w:firstLineChars="200"/>
        <w:rPr>
          <w:rFonts w:eastAsia="方正仿宋_GBK"/>
          <w:sz w:val="32"/>
          <w:szCs w:val="32"/>
        </w:rPr>
      </w:pPr>
      <w:r>
        <w:rPr>
          <w:rFonts w:eastAsia="方正仿宋_GBK"/>
          <w:sz w:val="32"/>
          <w:szCs w:val="32"/>
        </w:rPr>
        <w:t>熟练掌握本专业基础理论和专业知识，熟悉本专业国内外现状及发展趋势，不断吸取新理论、新知识、新技术并推广应用，熟悉本专业相关的法律、法规、标准与技术规范。能够正确按照护理程序开展临床护理工作，熟练掌握本专科病人的护理要点、治疗原则，能熟练地配合医生抢救本专业危重病人。具有指导本专业下级护理人员的能力。</w:t>
      </w:r>
    </w:p>
    <w:p>
      <w:pPr>
        <w:spacing w:line="580" w:lineRule="exact"/>
        <w:ind w:firstLine="640" w:firstLineChars="200"/>
        <w:rPr>
          <w:rFonts w:eastAsia="方正仿宋_GBK"/>
          <w:sz w:val="32"/>
          <w:szCs w:val="32"/>
        </w:rPr>
      </w:pPr>
      <w:r>
        <w:rPr>
          <w:rFonts w:hint="eastAsia" w:eastAsia="方正仿宋_GBK"/>
          <w:sz w:val="32"/>
          <w:szCs w:val="32"/>
        </w:rPr>
        <w:t>3</w:t>
      </w:r>
      <w:r>
        <w:rPr>
          <w:rFonts w:eastAsia="方正仿宋_GBK"/>
          <w:sz w:val="32"/>
          <w:szCs w:val="32"/>
        </w:rPr>
        <w:t>.</w:t>
      </w:r>
      <w:r>
        <w:rPr>
          <w:rFonts w:hint="eastAsia" w:eastAsia="方正仿宋_GBK"/>
          <w:sz w:val="32"/>
          <w:szCs w:val="32"/>
        </w:rPr>
        <w:t>副主任药师</w:t>
      </w:r>
    </w:p>
    <w:p>
      <w:pPr>
        <w:spacing w:line="580" w:lineRule="exact"/>
        <w:ind w:firstLine="640" w:firstLineChars="200"/>
        <w:rPr>
          <w:rFonts w:eastAsia="方正仿宋_GBK"/>
          <w:sz w:val="32"/>
          <w:szCs w:val="32"/>
        </w:rPr>
      </w:pPr>
      <w:r>
        <w:rPr>
          <w:rFonts w:eastAsia="方正仿宋_GBK"/>
          <w:sz w:val="32"/>
          <w:szCs w:val="32"/>
        </w:rPr>
        <w:t>担任主管药师职务期间，平均每年参加药学专业工作时间不少于40周</w:t>
      </w:r>
      <w:r>
        <w:rPr>
          <w:rFonts w:hint="eastAsia" w:eastAsia="方正仿宋_GBK"/>
          <w:sz w:val="32"/>
          <w:szCs w:val="32"/>
        </w:rPr>
        <w:t>，并</w:t>
      </w:r>
      <w:r>
        <w:rPr>
          <w:rFonts w:eastAsia="方正仿宋_GBK"/>
          <w:sz w:val="32"/>
          <w:szCs w:val="32"/>
        </w:rPr>
        <w:t>完成规定的工作数量要求</w:t>
      </w:r>
      <w:r>
        <w:rPr>
          <w:rFonts w:hint="eastAsia" w:eastAsia="方正仿宋_GBK"/>
          <w:sz w:val="32"/>
          <w:szCs w:val="32"/>
        </w:rPr>
        <w:t>。</w:t>
      </w:r>
    </w:p>
    <w:p>
      <w:pPr>
        <w:spacing w:line="580" w:lineRule="exact"/>
        <w:ind w:firstLine="640" w:firstLineChars="200"/>
        <w:rPr>
          <w:rFonts w:eastAsia="方正仿宋_GBK"/>
          <w:sz w:val="32"/>
          <w:szCs w:val="32"/>
        </w:rPr>
      </w:pPr>
      <w:r>
        <w:rPr>
          <w:rFonts w:eastAsia="方正仿宋_GBK"/>
          <w:sz w:val="32"/>
          <w:szCs w:val="32"/>
        </w:rPr>
        <w:t>熟练掌握本专业基础理论和专业知识；熟悉本专业国内外现状及发展趋势，不断吸取新理论、新知识、新技术并推广应用。熟悉本专业相关的法律、法规、标准与技术规范。能够参与制定药物治疗方案，对临床用药结果做出准确分析，能及时发现并处理处方和医嘱中出现的各种不合理用药现象，及时提出临床用药调整意见。具有指导下级药师的能力。其中，中药专业还应具备中药验收、保管、调剂、临方炮制、煎煮等中药药学服务能力，能够提供中药药物咨询服务，具有中药处方点评工作能力，提供合理使用中药建议。</w:t>
      </w:r>
    </w:p>
    <w:p>
      <w:pPr>
        <w:spacing w:line="580" w:lineRule="exact"/>
        <w:ind w:firstLine="640" w:firstLineChars="200"/>
        <w:rPr>
          <w:rFonts w:eastAsia="方正仿宋_GBK"/>
          <w:sz w:val="32"/>
          <w:szCs w:val="32"/>
        </w:rPr>
      </w:pPr>
      <w:r>
        <w:rPr>
          <w:rFonts w:hint="eastAsia" w:eastAsia="方正仿宋_GBK"/>
          <w:sz w:val="32"/>
          <w:szCs w:val="32"/>
        </w:rPr>
        <w:t>4.副主任技师</w:t>
      </w:r>
    </w:p>
    <w:p>
      <w:pPr>
        <w:spacing w:line="580" w:lineRule="exact"/>
        <w:ind w:firstLine="640" w:firstLineChars="200"/>
        <w:rPr>
          <w:rFonts w:eastAsia="方正仿宋_GBK"/>
          <w:sz w:val="32"/>
          <w:szCs w:val="32"/>
        </w:rPr>
      </w:pPr>
      <w:r>
        <w:rPr>
          <w:rFonts w:eastAsia="方正仿宋_GBK"/>
          <w:sz w:val="32"/>
          <w:szCs w:val="32"/>
        </w:rPr>
        <w:t>担任主管技师期间，平均每年参加本专业工作时间不少于40周</w:t>
      </w:r>
      <w:r>
        <w:rPr>
          <w:rFonts w:hint="eastAsia" w:eastAsia="方正仿宋_GBK"/>
          <w:sz w:val="32"/>
          <w:szCs w:val="32"/>
        </w:rPr>
        <w:t>，并</w:t>
      </w:r>
      <w:r>
        <w:rPr>
          <w:rFonts w:eastAsia="方正仿宋_GBK"/>
          <w:sz w:val="32"/>
          <w:szCs w:val="32"/>
        </w:rPr>
        <w:t>完成规定的工作数量要求</w:t>
      </w:r>
      <w:r>
        <w:rPr>
          <w:rFonts w:hint="eastAsia" w:eastAsia="方正仿宋_GBK"/>
          <w:sz w:val="32"/>
          <w:szCs w:val="32"/>
        </w:rPr>
        <w:t>。</w:t>
      </w:r>
    </w:p>
    <w:p>
      <w:pPr>
        <w:spacing w:line="580" w:lineRule="exact"/>
        <w:ind w:firstLine="640" w:firstLineChars="200"/>
        <w:rPr>
          <w:rFonts w:eastAsia="方正仿宋_GBK"/>
          <w:sz w:val="32"/>
          <w:szCs w:val="32"/>
        </w:rPr>
      </w:pPr>
      <w:r>
        <w:rPr>
          <w:rFonts w:eastAsia="方正仿宋_GBK"/>
          <w:sz w:val="32"/>
          <w:szCs w:val="32"/>
        </w:rPr>
        <w:t>熟练掌握本专业基础理论和专业知识，熟悉本专业国内外现状及发展趋势，不断吸取新理论、新知识、新技术并推广应用，熟悉本专业相关的法律、法规、标准与技术规范。具有较丰富的本专业工作经验，能独立解决复杂或重大技术问题，具有指导本专业下级技师的能力。</w:t>
      </w:r>
    </w:p>
    <w:p>
      <w:pPr>
        <w:spacing w:line="580" w:lineRule="exact"/>
        <w:ind w:firstLine="640" w:firstLineChars="200"/>
        <w:rPr>
          <w:rFonts w:eastAsia="方正仿宋_GBK"/>
          <w:sz w:val="32"/>
          <w:szCs w:val="32"/>
        </w:rPr>
      </w:pPr>
      <w:r>
        <w:rPr>
          <w:rFonts w:hint="eastAsia" w:eastAsia="方正仿宋_GBK"/>
          <w:sz w:val="32"/>
          <w:szCs w:val="32"/>
        </w:rPr>
        <w:t>5</w:t>
      </w:r>
      <w:r>
        <w:rPr>
          <w:rFonts w:eastAsia="方正仿宋_GBK"/>
          <w:sz w:val="32"/>
          <w:szCs w:val="32"/>
        </w:rPr>
        <w:t>.</w:t>
      </w:r>
      <w:r>
        <w:rPr>
          <w:rFonts w:hint="eastAsia" w:eastAsia="方正仿宋_GBK"/>
          <w:sz w:val="32"/>
          <w:szCs w:val="32"/>
        </w:rPr>
        <w:t>副研究员</w:t>
      </w:r>
    </w:p>
    <w:p>
      <w:pPr>
        <w:spacing w:line="580" w:lineRule="exact"/>
        <w:ind w:firstLine="640" w:firstLineChars="200"/>
        <w:rPr>
          <w:rFonts w:eastAsia="方正仿宋_GBK"/>
          <w:sz w:val="32"/>
          <w:szCs w:val="32"/>
        </w:rPr>
      </w:pPr>
      <w:r>
        <w:rPr>
          <w:rFonts w:eastAsia="方正仿宋_GBK"/>
          <w:sz w:val="32"/>
          <w:szCs w:val="32"/>
        </w:rPr>
        <w:t>担任</w:t>
      </w:r>
      <w:r>
        <w:rPr>
          <w:rFonts w:hint="eastAsia" w:eastAsia="方正仿宋_GBK"/>
          <w:sz w:val="32"/>
          <w:szCs w:val="32"/>
        </w:rPr>
        <w:t>助理研究员</w:t>
      </w:r>
      <w:r>
        <w:rPr>
          <w:rFonts w:eastAsia="方正仿宋_GBK"/>
          <w:sz w:val="32"/>
          <w:szCs w:val="32"/>
        </w:rPr>
        <w:t>期间，平均每年参加本专业工作时间不少于40周</w:t>
      </w:r>
      <w:r>
        <w:rPr>
          <w:rFonts w:hint="eastAsia" w:eastAsia="方正仿宋_GBK"/>
          <w:sz w:val="32"/>
          <w:szCs w:val="32"/>
        </w:rPr>
        <w:t>，并</w:t>
      </w:r>
      <w:r>
        <w:rPr>
          <w:rFonts w:eastAsia="方正仿宋_GBK"/>
          <w:sz w:val="32"/>
          <w:szCs w:val="32"/>
        </w:rPr>
        <w:t>完成规定的工作数量要求</w:t>
      </w:r>
      <w:r>
        <w:rPr>
          <w:rFonts w:hint="eastAsia" w:eastAsia="方正仿宋_GBK"/>
          <w:sz w:val="32"/>
          <w:szCs w:val="32"/>
        </w:rPr>
        <w:t>。</w:t>
      </w:r>
    </w:p>
    <w:p>
      <w:pPr>
        <w:spacing w:line="580" w:lineRule="exact"/>
        <w:ind w:firstLine="640" w:firstLineChars="200"/>
        <w:rPr>
          <w:rFonts w:eastAsia="方正仿宋_GBK"/>
          <w:sz w:val="32"/>
          <w:szCs w:val="32"/>
        </w:rPr>
      </w:pPr>
      <w:r>
        <w:rPr>
          <w:rFonts w:eastAsia="方正仿宋_GBK"/>
          <w:sz w:val="32"/>
          <w:szCs w:val="32"/>
        </w:rPr>
        <w:t>具有较强的组织协调能力和综合管理能力，负责的卫生管理某一方面工作成绩突出，为单位的改革和发展作出较大贡献。有较丰富的卫生管理经验，能有效地处理本专业复杂疑难问题，深入研究卫生管理工作，能结合实际，提出管理新思路、新办法，经实践行之有效，在业内产生较大影响。</w:t>
      </w:r>
    </w:p>
    <w:p>
      <w:pPr>
        <w:spacing w:line="580" w:lineRule="exact"/>
        <w:ind w:firstLine="640" w:firstLineChars="200"/>
        <w:rPr>
          <w:rFonts w:eastAsia="方正仿宋_GBK"/>
          <w:sz w:val="32"/>
          <w:szCs w:val="32"/>
        </w:rPr>
      </w:pPr>
      <w:r>
        <w:rPr>
          <w:rFonts w:eastAsia="方正仿宋_GBK"/>
          <w:sz w:val="32"/>
          <w:szCs w:val="32"/>
        </w:rPr>
        <w:t>第</w:t>
      </w:r>
      <w:r>
        <w:rPr>
          <w:rFonts w:hint="eastAsia" w:eastAsia="方正仿宋_GBK"/>
          <w:sz w:val="32"/>
          <w:szCs w:val="32"/>
        </w:rPr>
        <w:t>十五</w:t>
      </w:r>
      <w:r>
        <w:rPr>
          <w:rFonts w:eastAsia="方正仿宋_GBK"/>
          <w:sz w:val="32"/>
          <w:szCs w:val="32"/>
        </w:rPr>
        <w:t>条  </w:t>
      </w:r>
      <w:r>
        <w:rPr>
          <w:rFonts w:hint="eastAsia" w:eastAsia="方正仿宋_GBK"/>
          <w:sz w:val="32"/>
          <w:szCs w:val="32"/>
        </w:rPr>
        <w:t>工作业绩或成果</w:t>
      </w:r>
      <w:r>
        <w:rPr>
          <w:rFonts w:eastAsia="方正仿宋_GBK"/>
          <w:sz w:val="32"/>
          <w:szCs w:val="32"/>
        </w:rPr>
        <w:t>要求</w:t>
      </w:r>
    </w:p>
    <w:p>
      <w:pPr>
        <w:spacing w:line="580" w:lineRule="exact"/>
        <w:ind w:firstLine="640" w:firstLineChars="200"/>
        <w:rPr>
          <w:rFonts w:eastAsia="方正仿宋_GBK"/>
          <w:sz w:val="32"/>
          <w:szCs w:val="32"/>
        </w:rPr>
      </w:pPr>
      <w:r>
        <w:rPr>
          <w:rFonts w:hint="eastAsia" w:eastAsia="方正仿宋_GBK"/>
          <w:sz w:val="32"/>
          <w:szCs w:val="32"/>
        </w:rPr>
        <w:t>工作业绩或成果</w:t>
      </w:r>
      <w:r>
        <w:rPr>
          <w:rFonts w:eastAsia="方正仿宋_GBK"/>
          <w:sz w:val="32"/>
          <w:szCs w:val="32"/>
        </w:rPr>
        <w:t>实行代表作制度。取得中级资格后，须提供下列</w:t>
      </w:r>
      <w:r>
        <w:rPr>
          <w:rFonts w:hint="eastAsia" w:eastAsia="方正仿宋_GBK"/>
          <w:sz w:val="32"/>
          <w:szCs w:val="32"/>
        </w:rPr>
        <w:t>10</w:t>
      </w:r>
      <w:r>
        <w:rPr>
          <w:rFonts w:eastAsia="方正仿宋_GBK"/>
          <w:sz w:val="32"/>
          <w:szCs w:val="32"/>
        </w:rPr>
        <w:t>项</w:t>
      </w:r>
      <w:r>
        <w:rPr>
          <w:rFonts w:hint="eastAsia" w:eastAsia="方正仿宋_GBK"/>
          <w:sz w:val="32"/>
          <w:szCs w:val="32"/>
        </w:rPr>
        <w:t>工作业绩或成果</w:t>
      </w:r>
      <w:r>
        <w:rPr>
          <w:rFonts w:eastAsia="方正仿宋_GBK"/>
          <w:sz w:val="32"/>
          <w:szCs w:val="32"/>
        </w:rPr>
        <w:t xml:space="preserve">中的2项作为代表作参评： </w:t>
      </w:r>
    </w:p>
    <w:p>
      <w:pPr>
        <w:spacing w:line="580" w:lineRule="exact"/>
        <w:ind w:firstLine="640" w:firstLineChars="200"/>
        <w:rPr>
          <w:rFonts w:eastAsia="方正仿宋_GBK"/>
          <w:sz w:val="32"/>
          <w:szCs w:val="32"/>
        </w:rPr>
      </w:pPr>
      <w:r>
        <w:rPr>
          <w:rFonts w:eastAsia="方正仿宋_GBK"/>
          <w:sz w:val="32"/>
          <w:szCs w:val="32"/>
        </w:rPr>
        <w:t>（一）作为</w:t>
      </w:r>
      <w:r>
        <w:rPr>
          <w:rFonts w:hint="eastAsia" w:eastAsia="方正仿宋_GBK"/>
          <w:sz w:val="32"/>
          <w:szCs w:val="32"/>
        </w:rPr>
        <w:t>主要</w:t>
      </w:r>
      <w:r>
        <w:rPr>
          <w:rFonts w:eastAsia="方正仿宋_GBK"/>
          <w:sz w:val="32"/>
          <w:szCs w:val="32"/>
        </w:rPr>
        <w:t>完成人承担完成市（厅）级及以上科研项目1项。</w:t>
      </w:r>
    </w:p>
    <w:p>
      <w:pPr>
        <w:spacing w:line="580" w:lineRule="exact"/>
        <w:ind w:firstLine="640" w:firstLineChars="200"/>
        <w:rPr>
          <w:rFonts w:eastAsia="方正仿宋_GBK"/>
          <w:sz w:val="32"/>
          <w:szCs w:val="32"/>
        </w:rPr>
      </w:pPr>
      <w:r>
        <w:rPr>
          <w:rFonts w:eastAsia="方正仿宋_GBK"/>
          <w:sz w:val="32"/>
          <w:szCs w:val="32"/>
        </w:rPr>
        <w:t>（二）作为</w:t>
      </w:r>
      <w:r>
        <w:rPr>
          <w:rFonts w:hint="eastAsia" w:eastAsia="方正仿宋_GBK"/>
          <w:sz w:val="32"/>
          <w:szCs w:val="32"/>
        </w:rPr>
        <w:t>主要</w:t>
      </w:r>
      <w:r>
        <w:rPr>
          <w:rFonts w:eastAsia="方正仿宋_GBK"/>
          <w:sz w:val="32"/>
          <w:szCs w:val="32"/>
        </w:rPr>
        <w:t>完成人获得本专业相关的授权发明专利证书1项。</w:t>
      </w:r>
    </w:p>
    <w:p>
      <w:pPr>
        <w:spacing w:line="580" w:lineRule="exact"/>
        <w:ind w:firstLine="640" w:firstLineChars="200"/>
        <w:rPr>
          <w:rFonts w:eastAsia="方正仿宋_GBK"/>
          <w:sz w:val="32"/>
          <w:szCs w:val="32"/>
        </w:rPr>
      </w:pPr>
      <w:r>
        <w:rPr>
          <w:rFonts w:hint="eastAsia" w:eastAsia="方正仿宋_GBK"/>
          <w:sz w:val="32"/>
          <w:szCs w:val="32"/>
        </w:rPr>
        <w:t>（三）参与制定本专业</w:t>
      </w:r>
      <w:r>
        <w:rPr>
          <w:rFonts w:eastAsia="方正仿宋_GBK"/>
          <w:sz w:val="32"/>
          <w:szCs w:val="32"/>
        </w:rPr>
        <w:t>国家标准、行业标准、地方标准</w:t>
      </w:r>
      <w:r>
        <w:rPr>
          <w:rFonts w:hint="eastAsia" w:eastAsia="方正仿宋_GBK"/>
          <w:sz w:val="32"/>
          <w:szCs w:val="32"/>
        </w:rPr>
        <w:t>或</w:t>
      </w:r>
      <w:r>
        <w:rPr>
          <w:rFonts w:eastAsia="方正仿宋_GBK"/>
          <w:sz w:val="32"/>
          <w:szCs w:val="32"/>
        </w:rPr>
        <w:t>技术规范</w:t>
      </w:r>
      <w:r>
        <w:rPr>
          <w:rFonts w:hint="eastAsia" w:eastAsia="方正仿宋_GBK"/>
          <w:sz w:val="32"/>
          <w:szCs w:val="32"/>
        </w:rPr>
        <w:t>1项。</w:t>
      </w:r>
    </w:p>
    <w:p>
      <w:pPr>
        <w:spacing w:line="580" w:lineRule="exact"/>
        <w:ind w:firstLine="640" w:firstLineChars="200"/>
        <w:rPr>
          <w:rFonts w:eastAsia="方正仿宋_GBK"/>
          <w:sz w:val="32"/>
          <w:szCs w:val="32"/>
        </w:rPr>
      </w:pPr>
      <w:r>
        <w:rPr>
          <w:rFonts w:eastAsia="方正仿宋_GBK"/>
          <w:sz w:val="32"/>
          <w:szCs w:val="32"/>
        </w:rPr>
        <w:t>（</w:t>
      </w:r>
      <w:r>
        <w:rPr>
          <w:rFonts w:hint="eastAsia" w:eastAsia="方正仿宋_GBK"/>
          <w:sz w:val="32"/>
          <w:szCs w:val="32"/>
        </w:rPr>
        <w:t>四</w:t>
      </w:r>
      <w:r>
        <w:rPr>
          <w:rFonts w:eastAsia="方正仿宋_GBK"/>
          <w:sz w:val="32"/>
          <w:szCs w:val="32"/>
        </w:rPr>
        <w:t>）在有正式期刊号的专业期刊上公开发表本专业学术论文（第一作者或通讯作者）1篇以上。</w:t>
      </w:r>
    </w:p>
    <w:p>
      <w:pPr>
        <w:spacing w:line="580" w:lineRule="exact"/>
        <w:ind w:firstLine="640" w:firstLineChars="200"/>
        <w:rPr>
          <w:rFonts w:eastAsia="方正仿宋_GBK"/>
          <w:sz w:val="32"/>
          <w:szCs w:val="32"/>
        </w:rPr>
      </w:pPr>
      <w:r>
        <w:rPr>
          <w:rFonts w:eastAsia="方正仿宋_GBK"/>
          <w:sz w:val="32"/>
          <w:szCs w:val="32"/>
        </w:rPr>
        <w:t>（</w:t>
      </w:r>
      <w:r>
        <w:rPr>
          <w:rFonts w:hint="eastAsia" w:eastAsia="方正仿宋_GBK"/>
          <w:sz w:val="32"/>
          <w:szCs w:val="32"/>
        </w:rPr>
        <w:t>五</w:t>
      </w:r>
      <w:r>
        <w:rPr>
          <w:rFonts w:eastAsia="方正仿宋_GBK"/>
          <w:sz w:val="32"/>
          <w:szCs w:val="32"/>
        </w:rPr>
        <w:t>）出版本专业有较高学术水平的专著2部（主编或副主编，本人撰写</w:t>
      </w:r>
      <w:r>
        <w:rPr>
          <w:rFonts w:hint="eastAsia" w:eastAsia="方正仿宋_GBK"/>
          <w:sz w:val="32"/>
          <w:szCs w:val="32"/>
        </w:rPr>
        <w:t>5</w:t>
      </w:r>
      <w:r>
        <w:rPr>
          <w:rFonts w:eastAsia="方正仿宋_GBK"/>
          <w:sz w:val="32"/>
          <w:szCs w:val="32"/>
        </w:rPr>
        <w:t>万字以上）。</w:t>
      </w:r>
    </w:p>
    <w:p>
      <w:pPr>
        <w:spacing w:line="580" w:lineRule="exact"/>
        <w:ind w:firstLine="640" w:firstLineChars="200"/>
        <w:rPr>
          <w:rFonts w:eastAsia="方正仿宋_GBK"/>
          <w:sz w:val="32"/>
          <w:szCs w:val="32"/>
        </w:rPr>
      </w:pPr>
      <w:r>
        <w:rPr>
          <w:rFonts w:eastAsia="方正仿宋_GBK"/>
          <w:sz w:val="32"/>
          <w:szCs w:val="32"/>
        </w:rPr>
        <w:t>（</w:t>
      </w:r>
      <w:r>
        <w:rPr>
          <w:rFonts w:hint="eastAsia" w:eastAsia="方正仿宋_GBK"/>
          <w:sz w:val="32"/>
          <w:szCs w:val="32"/>
        </w:rPr>
        <w:t>六</w:t>
      </w:r>
      <w:r>
        <w:rPr>
          <w:rFonts w:eastAsia="方正仿宋_GBK"/>
          <w:sz w:val="32"/>
          <w:szCs w:val="32"/>
        </w:rPr>
        <w:t>）</w:t>
      </w:r>
      <w:r>
        <w:rPr>
          <w:rFonts w:hint="eastAsia" w:eastAsia="方正仿宋_GBK"/>
          <w:sz w:val="32"/>
          <w:szCs w:val="32"/>
        </w:rPr>
        <w:t>参与编写公开出版的向大众普及本专业科学知识的科普专著</w:t>
      </w:r>
      <w:r>
        <w:rPr>
          <w:rFonts w:eastAsia="方正仿宋_GBK"/>
          <w:sz w:val="32"/>
          <w:szCs w:val="32"/>
        </w:rPr>
        <w:t>2</w:t>
      </w:r>
      <w:r>
        <w:rPr>
          <w:rFonts w:hint="eastAsia" w:eastAsia="方正仿宋_GBK"/>
          <w:sz w:val="32"/>
          <w:szCs w:val="32"/>
        </w:rPr>
        <w:t>部</w:t>
      </w:r>
      <w:r>
        <w:rPr>
          <w:rFonts w:eastAsia="方正仿宋_GBK"/>
          <w:sz w:val="32"/>
          <w:szCs w:val="32"/>
        </w:rPr>
        <w:t>（主编或副主编，本人撰写</w:t>
      </w:r>
      <w:r>
        <w:rPr>
          <w:rFonts w:hint="eastAsia" w:eastAsia="方正仿宋_GBK"/>
          <w:sz w:val="32"/>
          <w:szCs w:val="32"/>
        </w:rPr>
        <w:t>5</w:t>
      </w:r>
      <w:r>
        <w:rPr>
          <w:rFonts w:eastAsia="方正仿宋_GBK"/>
          <w:sz w:val="32"/>
          <w:szCs w:val="32"/>
        </w:rPr>
        <w:t>万字以上）。</w:t>
      </w:r>
    </w:p>
    <w:p>
      <w:pPr>
        <w:spacing w:line="580" w:lineRule="exact"/>
        <w:ind w:firstLine="640" w:firstLineChars="200"/>
        <w:rPr>
          <w:rFonts w:eastAsia="方正仿宋_GBK"/>
          <w:sz w:val="32"/>
          <w:szCs w:val="32"/>
        </w:rPr>
      </w:pPr>
      <w:r>
        <w:rPr>
          <w:rFonts w:eastAsia="方正仿宋_GBK"/>
          <w:sz w:val="32"/>
          <w:szCs w:val="32"/>
        </w:rPr>
        <w:t>（</w:t>
      </w:r>
      <w:r>
        <w:rPr>
          <w:rFonts w:hint="eastAsia" w:eastAsia="方正仿宋_GBK"/>
          <w:sz w:val="32"/>
          <w:szCs w:val="32"/>
        </w:rPr>
        <w:t>七</w:t>
      </w:r>
      <w:r>
        <w:rPr>
          <w:rFonts w:eastAsia="方正仿宋_GBK"/>
          <w:sz w:val="32"/>
          <w:szCs w:val="32"/>
        </w:rPr>
        <w:t>）本人主持、主治的较高专业技术水平的原始病案2份。</w:t>
      </w:r>
    </w:p>
    <w:p>
      <w:pPr>
        <w:spacing w:line="580" w:lineRule="exact"/>
        <w:ind w:firstLine="640" w:firstLineChars="200"/>
        <w:rPr>
          <w:rFonts w:eastAsia="方正仿宋_GBK"/>
          <w:sz w:val="32"/>
          <w:szCs w:val="32"/>
        </w:rPr>
      </w:pPr>
      <w:r>
        <w:rPr>
          <w:rFonts w:eastAsia="方正仿宋_GBK"/>
          <w:sz w:val="32"/>
          <w:szCs w:val="32"/>
        </w:rPr>
        <w:t>（</w:t>
      </w:r>
      <w:r>
        <w:rPr>
          <w:rFonts w:hint="eastAsia" w:eastAsia="方正仿宋_GBK"/>
          <w:sz w:val="32"/>
          <w:szCs w:val="32"/>
        </w:rPr>
        <w:t>八</w:t>
      </w:r>
      <w:r>
        <w:rPr>
          <w:rFonts w:eastAsia="方正仿宋_GBK"/>
          <w:sz w:val="32"/>
          <w:szCs w:val="32"/>
        </w:rPr>
        <w:t>）</w:t>
      </w:r>
      <w:r>
        <w:rPr>
          <w:rFonts w:hint="eastAsia" w:eastAsia="方正仿宋_GBK"/>
          <w:sz w:val="32"/>
          <w:szCs w:val="32"/>
        </w:rPr>
        <w:t>作为</w:t>
      </w:r>
      <w:r>
        <w:rPr>
          <w:rFonts w:eastAsia="方正仿宋_GBK"/>
          <w:sz w:val="32"/>
          <w:szCs w:val="32"/>
        </w:rPr>
        <w:t>责任护士护理的疑难、危重症患者原始病案</w:t>
      </w:r>
      <w:r>
        <w:rPr>
          <w:rFonts w:hint="eastAsia" w:eastAsia="方正仿宋_GBK"/>
          <w:sz w:val="32"/>
          <w:szCs w:val="32"/>
        </w:rPr>
        <w:t>1</w:t>
      </w:r>
      <w:r>
        <w:rPr>
          <w:rFonts w:eastAsia="方正仿宋_GBK"/>
          <w:sz w:val="32"/>
          <w:szCs w:val="32"/>
        </w:rPr>
        <w:t>份（含病案首页、病程记录、护理记录），并附分析报告</w:t>
      </w:r>
      <w:r>
        <w:rPr>
          <w:rFonts w:hint="eastAsia" w:eastAsia="方正仿宋_GBK"/>
          <w:sz w:val="32"/>
          <w:szCs w:val="32"/>
        </w:rPr>
        <w:t>1份</w:t>
      </w:r>
      <w:r>
        <w:rPr>
          <w:rFonts w:eastAsia="方正仿宋_GBK"/>
          <w:sz w:val="32"/>
          <w:szCs w:val="32"/>
        </w:rPr>
        <w:t>。</w:t>
      </w:r>
    </w:p>
    <w:p>
      <w:pPr>
        <w:spacing w:line="580" w:lineRule="exact"/>
        <w:ind w:firstLine="640" w:firstLineChars="200"/>
        <w:rPr>
          <w:rFonts w:eastAsia="方正仿宋_GBK"/>
          <w:sz w:val="32"/>
          <w:szCs w:val="32"/>
        </w:rPr>
      </w:pPr>
      <w:r>
        <w:rPr>
          <w:rFonts w:eastAsia="方正仿宋_GBK"/>
          <w:sz w:val="32"/>
          <w:szCs w:val="32"/>
        </w:rPr>
        <w:t>（</w:t>
      </w:r>
      <w:r>
        <w:rPr>
          <w:rFonts w:hint="eastAsia" w:eastAsia="方正仿宋_GBK"/>
          <w:sz w:val="32"/>
          <w:szCs w:val="32"/>
        </w:rPr>
        <w:t>九</w:t>
      </w:r>
      <w:r>
        <w:rPr>
          <w:rFonts w:eastAsia="方正仿宋_GBK"/>
          <w:sz w:val="32"/>
          <w:szCs w:val="32"/>
        </w:rPr>
        <w:t>）反映实际工作中解决本专业复杂疑难问题的专题报告</w:t>
      </w:r>
      <w:r>
        <w:rPr>
          <w:rFonts w:hint="eastAsia" w:eastAsia="方正仿宋_GBK"/>
          <w:sz w:val="32"/>
          <w:szCs w:val="32"/>
        </w:rPr>
        <w:t>（</w:t>
      </w:r>
      <w:r>
        <w:rPr>
          <w:rFonts w:eastAsia="方正仿宋_GBK"/>
          <w:sz w:val="32"/>
          <w:szCs w:val="32"/>
        </w:rPr>
        <w:t>流行病学调查报告、应急处置情况报告、</w:t>
      </w:r>
      <w:r>
        <w:rPr>
          <w:rFonts w:hint="eastAsia" w:eastAsia="方正仿宋_GBK"/>
          <w:sz w:val="32"/>
          <w:szCs w:val="32"/>
        </w:rPr>
        <w:t>持续质量改进项目等）</w:t>
      </w:r>
      <w:r>
        <w:rPr>
          <w:rFonts w:eastAsia="方正仿宋_GBK"/>
          <w:sz w:val="32"/>
          <w:szCs w:val="32"/>
        </w:rPr>
        <w:t>2份。</w:t>
      </w:r>
    </w:p>
    <w:p>
      <w:pPr>
        <w:spacing w:line="580" w:lineRule="exact"/>
        <w:ind w:firstLine="640" w:firstLineChars="200"/>
        <w:rPr>
          <w:rFonts w:eastAsia="方正仿宋_GBK"/>
          <w:sz w:val="32"/>
          <w:szCs w:val="32"/>
        </w:rPr>
      </w:pPr>
      <w:r>
        <w:rPr>
          <w:rFonts w:hint="eastAsia" w:eastAsia="方正仿宋_GBK"/>
          <w:sz w:val="32"/>
          <w:szCs w:val="32"/>
        </w:rPr>
        <w:t>（十）其他省级卫生健康行政部门认可的业绩成果材料1份。</w:t>
      </w:r>
    </w:p>
    <w:p>
      <w:pPr>
        <w:spacing w:before="315" w:beforeLines="100" w:after="315" w:afterLines="100" w:line="580" w:lineRule="exact"/>
        <w:jc w:val="center"/>
        <w:rPr>
          <w:rStyle w:val="12"/>
          <w:rFonts w:eastAsia="方正黑体_GBK"/>
          <w:b w:val="0"/>
          <w:sz w:val="32"/>
          <w:szCs w:val="32"/>
        </w:rPr>
      </w:pPr>
      <w:r>
        <w:rPr>
          <w:rStyle w:val="12"/>
          <w:rFonts w:eastAsia="方正黑体_GBK"/>
          <w:b w:val="0"/>
          <w:sz w:val="32"/>
          <w:szCs w:val="32"/>
        </w:rPr>
        <w:t>第</w:t>
      </w:r>
      <w:r>
        <w:rPr>
          <w:rStyle w:val="12"/>
          <w:rFonts w:hint="eastAsia" w:eastAsia="方正黑体_GBK"/>
          <w:b w:val="0"/>
          <w:sz w:val="32"/>
          <w:szCs w:val="32"/>
        </w:rPr>
        <w:t>六</w:t>
      </w:r>
      <w:r>
        <w:rPr>
          <w:rStyle w:val="12"/>
          <w:rFonts w:eastAsia="方正黑体_GBK"/>
          <w:b w:val="0"/>
          <w:sz w:val="32"/>
          <w:szCs w:val="32"/>
        </w:rPr>
        <w:t>章  正高级资格条件</w:t>
      </w:r>
    </w:p>
    <w:p>
      <w:pPr>
        <w:spacing w:line="580" w:lineRule="exact"/>
        <w:ind w:firstLine="640" w:firstLineChars="200"/>
        <w:rPr>
          <w:rFonts w:eastAsia="方正仿宋_GBK"/>
          <w:sz w:val="32"/>
          <w:szCs w:val="32"/>
        </w:rPr>
      </w:pPr>
      <w:r>
        <w:rPr>
          <w:rFonts w:eastAsia="方正仿宋_GBK"/>
          <w:sz w:val="32"/>
          <w:szCs w:val="32"/>
        </w:rPr>
        <w:t>第</w:t>
      </w:r>
      <w:r>
        <w:rPr>
          <w:rFonts w:hint="eastAsia" w:eastAsia="方正仿宋_GBK"/>
          <w:sz w:val="32"/>
          <w:szCs w:val="32"/>
        </w:rPr>
        <w:t>十六</w:t>
      </w:r>
      <w:r>
        <w:rPr>
          <w:rFonts w:eastAsia="方正仿宋_GBK"/>
          <w:sz w:val="32"/>
          <w:szCs w:val="32"/>
        </w:rPr>
        <w:t>条</w:t>
      </w:r>
      <w:r>
        <w:rPr>
          <w:rFonts w:hint="eastAsia" w:eastAsia="方正仿宋_GBK"/>
          <w:sz w:val="32"/>
          <w:szCs w:val="32"/>
          <w:lang w:val="en-US" w:eastAsia="zh-CN"/>
        </w:rPr>
        <w:t xml:space="preserve"> </w:t>
      </w:r>
      <w:r>
        <w:rPr>
          <w:rFonts w:eastAsia="方正仿宋_GBK"/>
          <w:sz w:val="32"/>
          <w:szCs w:val="32"/>
        </w:rPr>
        <w:t>学历、资历要求</w:t>
      </w:r>
    </w:p>
    <w:p>
      <w:pPr>
        <w:spacing w:line="580" w:lineRule="exact"/>
        <w:ind w:firstLine="640" w:firstLineChars="200"/>
        <w:rPr>
          <w:rFonts w:eastAsia="方正仿宋_GBK"/>
          <w:sz w:val="32"/>
          <w:szCs w:val="32"/>
        </w:rPr>
      </w:pPr>
      <w:r>
        <w:rPr>
          <w:rFonts w:hint="eastAsia" w:eastAsia="方正仿宋_GBK"/>
          <w:sz w:val="32"/>
          <w:szCs w:val="32"/>
        </w:rPr>
        <w:t>取得本专业大学本科及以上学历（学位），聘任</w:t>
      </w:r>
      <w:r>
        <w:rPr>
          <w:rFonts w:eastAsia="方正仿宋_GBK"/>
          <w:sz w:val="32"/>
          <w:szCs w:val="32"/>
        </w:rPr>
        <w:t>副高资格</w:t>
      </w:r>
      <w:r>
        <w:rPr>
          <w:rFonts w:hint="eastAsia" w:eastAsia="方正仿宋_GBK"/>
          <w:sz w:val="32"/>
          <w:szCs w:val="32"/>
        </w:rPr>
        <w:t>满 5年。</w:t>
      </w:r>
    </w:p>
    <w:p>
      <w:pPr>
        <w:spacing w:line="580" w:lineRule="exact"/>
        <w:ind w:firstLine="640" w:firstLineChars="200"/>
        <w:rPr>
          <w:rFonts w:eastAsia="方正仿宋_GBK"/>
          <w:sz w:val="32"/>
          <w:szCs w:val="32"/>
        </w:rPr>
      </w:pPr>
      <w:r>
        <w:rPr>
          <w:rFonts w:hint="eastAsia" w:eastAsia="方正仿宋_GBK"/>
          <w:sz w:val="32"/>
          <w:szCs w:val="32"/>
        </w:rPr>
        <w:t>第十七条</w:t>
      </w:r>
      <w:r>
        <w:rPr>
          <w:rFonts w:hint="eastAsia" w:eastAsia="方正仿宋_GBK"/>
          <w:sz w:val="32"/>
          <w:szCs w:val="32"/>
          <w:lang w:val="en-US" w:eastAsia="zh-CN"/>
        </w:rPr>
        <w:t xml:space="preserve"> </w:t>
      </w:r>
      <w:r>
        <w:rPr>
          <w:rFonts w:hint="eastAsia" w:eastAsia="方正仿宋_GBK"/>
          <w:sz w:val="32"/>
          <w:szCs w:val="32"/>
        </w:rPr>
        <w:t>专业理论知识要求</w:t>
      </w:r>
    </w:p>
    <w:p>
      <w:pPr>
        <w:spacing w:line="580" w:lineRule="exact"/>
        <w:ind w:firstLine="640" w:firstLineChars="200"/>
        <w:rPr>
          <w:rFonts w:eastAsia="方正仿宋_GBK"/>
          <w:sz w:val="32"/>
          <w:szCs w:val="32"/>
        </w:rPr>
      </w:pPr>
      <w:r>
        <w:rPr>
          <w:rFonts w:hint="eastAsia" w:eastAsia="方正仿宋_GBK"/>
          <w:sz w:val="32"/>
          <w:szCs w:val="32"/>
        </w:rPr>
        <w:t>精通本专业基础理论和专业技术知识，具有深厚的学术造诣，能分析国内外本学科及相关学科的发展趋势，在本专业领域内有独创的见解，是本学科的学术技术带头人。</w:t>
      </w:r>
    </w:p>
    <w:p>
      <w:pPr>
        <w:spacing w:line="580" w:lineRule="exact"/>
        <w:ind w:firstLine="640" w:firstLineChars="200"/>
        <w:rPr>
          <w:rFonts w:eastAsia="方正仿宋_GBK"/>
          <w:sz w:val="32"/>
          <w:szCs w:val="32"/>
        </w:rPr>
      </w:pPr>
      <w:r>
        <w:rPr>
          <w:rFonts w:hint="eastAsia" w:eastAsia="方正仿宋_GBK"/>
          <w:sz w:val="32"/>
          <w:szCs w:val="32"/>
        </w:rPr>
        <w:t>第十八条 专业技术工作经历（能力）要求</w:t>
      </w:r>
    </w:p>
    <w:p>
      <w:pPr>
        <w:spacing w:line="580" w:lineRule="exact"/>
        <w:ind w:firstLine="640" w:firstLineChars="200"/>
        <w:rPr>
          <w:rFonts w:eastAsia="方正仿宋_GBK"/>
          <w:sz w:val="32"/>
          <w:szCs w:val="32"/>
        </w:rPr>
      </w:pPr>
      <w:r>
        <w:rPr>
          <w:rFonts w:hint="eastAsia" w:eastAsia="方正仿宋_GBK"/>
          <w:sz w:val="32"/>
          <w:szCs w:val="32"/>
        </w:rPr>
        <w:t>1.主任医师</w:t>
      </w:r>
    </w:p>
    <w:p>
      <w:pPr>
        <w:spacing w:line="580" w:lineRule="exact"/>
        <w:ind w:firstLine="640" w:firstLineChars="200"/>
        <w:rPr>
          <w:rFonts w:eastAsia="方正仿宋_GBK"/>
          <w:kern w:val="0"/>
          <w:sz w:val="32"/>
          <w:szCs w:val="32"/>
        </w:rPr>
      </w:pPr>
      <w:r>
        <w:rPr>
          <w:rFonts w:hint="eastAsia" w:eastAsia="方正仿宋_GBK"/>
          <w:sz w:val="32"/>
          <w:szCs w:val="32"/>
        </w:rPr>
        <w:t>担任副主任医师期间，平均每年参加本专业工作时间</w:t>
      </w:r>
      <w:r>
        <w:rPr>
          <w:rFonts w:eastAsia="方正仿宋_GBK"/>
          <w:kern w:val="0"/>
          <w:sz w:val="32"/>
          <w:szCs w:val="32"/>
        </w:rPr>
        <w:t>不少于</w:t>
      </w:r>
      <w:r>
        <w:rPr>
          <w:rFonts w:hint="eastAsia" w:eastAsia="方正仿宋_GBK"/>
          <w:kern w:val="0"/>
          <w:sz w:val="32"/>
          <w:szCs w:val="32"/>
        </w:rPr>
        <w:t>35</w:t>
      </w:r>
      <w:r>
        <w:rPr>
          <w:rFonts w:eastAsia="方正仿宋_GBK"/>
          <w:kern w:val="0"/>
          <w:sz w:val="32"/>
          <w:szCs w:val="32"/>
        </w:rPr>
        <w:t>周</w:t>
      </w:r>
      <w:r>
        <w:rPr>
          <w:rFonts w:hint="eastAsia" w:eastAsia="方正仿宋_GBK"/>
          <w:kern w:val="0"/>
          <w:sz w:val="32"/>
          <w:szCs w:val="32"/>
        </w:rPr>
        <w:t>，并</w:t>
      </w:r>
      <w:r>
        <w:rPr>
          <w:rFonts w:eastAsia="方正仿宋_GBK"/>
          <w:kern w:val="0"/>
          <w:sz w:val="32"/>
          <w:szCs w:val="32"/>
        </w:rPr>
        <w:t>完成规定的工作数量要求</w:t>
      </w:r>
      <w:r>
        <w:rPr>
          <w:rFonts w:hint="eastAsia" w:eastAsia="方正仿宋_GBK"/>
          <w:kern w:val="0"/>
          <w:sz w:val="32"/>
          <w:szCs w:val="32"/>
        </w:rPr>
        <w:t>（详见附表1）</w:t>
      </w:r>
      <w:r>
        <w:rPr>
          <w:rFonts w:eastAsia="方正仿宋_GBK"/>
          <w:kern w:val="0"/>
          <w:sz w:val="32"/>
          <w:szCs w:val="32"/>
        </w:rPr>
        <w:t>。</w:t>
      </w:r>
    </w:p>
    <w:p>
      <w:pPr>
        <w:spacing w:line="580" w:lineRule="exact"/>
        <w:ind w:firstLine="640" w:firstLineChars="200"/>
        <w:rPr>
          <w:rFonts w:eastAsia="方正仿宋_GBK"/>
          <w:sz w:val="32"/>
          <w:szCs w:val="32"/>
        </w:rPr>
      </w:pPr>
      <w:r>
        <w:rPr>
          <w:rFonts w:hint="eastAsia" w:eastAsia="方正仿宋_GBK"/>
          <w:sz w:val="32"/>
          <w:szCs w:val="32"/>
        </w:rPr>
        <w:t>临床、口腔、中医类别：在具备所规定的副主任医师水平的基础上，系统掌握本专业某一领域的基础理论知识与技术，并有所专长。深入了解本专业国内外现状及发展趋势，不断吸取新理论、新知识、新技术并用于医疗实践。具有丰富的本专业工作经验，能独立解决复杂或重大技术问题，具有指导本专业下级医师的能力。强化病案作为评价载体，采取随机抽取与个人提供相结合的方式，</w:t>
      </w:r>
      <w:r>
        <w:rPr>
          <w:rFonts w:eastAsia="方正仿宋_GBK"/>
          <w:sz w:val="32"/>
          <w:szCs w:val="32"/>
        </w:rPr>
        <w:t>设病床的相关专业申报人员应</w:t>
      </w:r>
      <w:r>
        <w:rPr>
          <w:rFonts w:hint="eastAsia" w:eastAsia="方正仿宋_GBK"/>
          <w:sz w:val="32"/>
          <w:szCs w:val="32"/>
        </w:rPr>
        <w:t>提供5份本人主治或者主持的、能够反映其专业技术水平的抢救、死亡或疑难病案，加强对临床医生执业能力的评价。</w:t>
      </w:r>
    </w:p>
    <w:p>
      <w:pPr>
        <w:spacing w:line="580" w:lineRule="exact"/>
        <w:ind w:firstLine="640" w:firstLineChars="200"/>
        <w:rPr>
          <w:rFonts w:eastAsia="方正仿宋_GBK"/>
          <w:sz w:val="32"/>
          <w:szCs w:val="32"/>
        </w:rPr>
      </w:pPr>
      <w:r>
        <w:rPr>
          <w:rFonts w:hint="eastAsia" w:eastAsia="方正仿宋_GBK"/>
          <w:sz w:val="32"/>
          <w:szCs w:val="32"/>
        </w:rPr>
        <w:t>基于病案首页数据，重点从技术能力、质量安全、资源利用、患者管理四个维度，利用诊治病种范围和例数、手术级别和例数、术后并发症发生率、单病种平均住院日、单病种次均费用等指标，科学准确评价医生的执业能力和水平。其中，中医专业还应基于中医病案首页数据，重点围绕以中医为主治疗的出院患者比例、中药饮片处方比、中医治疗疑难危重病患者数量、中医非药物疗法使用率等中医药特色指标，评价中医医师的中医药诊疗能力和水平。</w:t>
      </w:r>
    </w:p>
    <w:p>
      <w:pPr>
        <w:spacing w:line="580" w:lineRule="exact"/>
        <w:ind w:firstLine="640" w:firstLineChars="200"/>
        <w:rPr>
          <w:rFonts w:eastAsia="方正仿宋_GBK"/>
          <w:sz w:val="32"/>
          <w:szCs w:val="32"/>
        </w:rPr>
      </w:pPr>
      <w:r>
        <w:rPr>
          <w:rFonts w:hint="eastAsia" w:eastAsia="方正仿宋_GBK"/>
          <w:sz w:val="32"/>
          <w:szCs w:val="32"/>
        </w:rPr>
        <w:t>公共卫生类别：在具备所规定的副主任医师水平的基础上，系统掌握本专业某一领域的基础理论知识与技术，并有所专长。深入了解本专业国内外现状及发展趋势，不断吸取新理论、新知识、新技术并用于实践。具有丰富的本专业工作经验，能独立解决复杂或重大技术问题，具有指导本专业下级医师的能力。</w:t>
      </w:r>
    </w:p>
    <w:p>
      <w:pPr>
        <w:spacing w:line="580" w:lineRule="exact"/>
        <w:ind w:firstLine="640" w:firstLineChars="200"/>
        <w:rPr>
          <w:rFonts w:eastAsia="方正仿宋_GBK"/>
          <w:sz w:val="32"/>
          <w:szCs w:val="32"/>
        </w:rPr>
      </w:pPr>
      <w:r>
        <w:rPr>
          <w:rFonts w:hint="eastAsia" w:eastAsia="方正仿宋_GBK"/>
          <w:sz w:val="32"/>
          <w:szCs w:val="32"/>
        </w:rPr>
        <w:t>基于参与的业务工作内容，重点考核公共卫生现场能力、计划方案制定能力、技术规范和标准指南制定能力、业务管理技术报告撰写能力、健康教育和科普能力、循证决策能力、专业技术成果产出、科研教学能力、完成基本公共卫生服务项目的能力等方面，包含现场流行病学调查报告、疾病与健康危害因素监测(分析预警)报告、制定公共卫生应急处置预案和风险评估报告、业务工作计划、技术指导方案制定等内容。</w:t>
      </w:r>
    </w:p>
    <w:p>
      <w:pPr>
        <w:spacing w:line="580" w:lineRule="exact"/>
        <w:ind w:firstLine="640" w:firstLineChars="200"/>
        <w:rPr>
          <w:rFonts w:eastAsia="方正仿宋_GBK"/>
          <w:sz w:val="32"/>
          <w:szCs w:val="32"/>
        </w:rPr>
      </w:pPr>
      <w:r>
        <w:rPr>
          <w:rFonts w:hint="eastAsia" w:eastAsia="方正仿宋_GBK"/>
          <w:sz w:val="32"/>
          <w:szCs w:val="32"/>
        </w:rPr>
        <w:t>2.主任护师</w:t>
      </w:r>
    </w:p>
    <w:p>
      <w:pPr>
        <w:spacing w:line="580" w:lineRule="exact"/>
        <w:ind w:firstLine="640" w:firstLineChars="200"/>
        <w:rPr>
          <w:rFonts w:eastAsia="方正仿宋_GBK"/>
          <w:sz w:val="32"/>
          <w:szCs w:val="32"/>
        </w:rPr>
      </w:pPr>
      <w:r>
        <w:rPr>
          <w:rFonts w:hint="eastAsia" w:eastAsia="方正仿宋_GBK"/>
          <w:sz w:val="32"/>
          <w:szCs w:val="32"/>
        </w:rPr>
        <w:t>担任副主任护师期间，平均每年参加临床护理、护理管理、护理教学工作时间总计不少于35周，病历首页责任护士和质控护士记录任期内累计不少于240条(急诊、重症、手术室、血透、导管室等科室从相应记录单提取护士记录) ，并完成规定的工作数量要求</w:t>
      </w:r>
      <w:r>
        <w:rPr>
          <w:rFonts w:eastAsia="方正仿宋_GBK"/>
          <w:sz w:val="32"/>
          <w:szCs w:val="32"/>
        </w:rPr>
        <w:t>（详见附表</w:t>
      </w:r>
      <w:r>
        <w:rPr>
          <w:rFonts w:hint="eastAsia" w:eastAsia="方正仿宋_GBK"/>
          <w:sz w:val="32"/>
          <w:szCs w:val="32"/>
        </w:rPr>
        <w:t>2</w:t>
      </w:r>
      <w:r>
        <w:rPr>
          <w:rFonts w:eastAsia="方正仿宋_GBK"/>
          <w:sz w:val="32"/>
          <w:szCs w:val="32"/>
        </w:rPr>
        <w:t>）</w:t>
      </w:r>
      <w:r>
        <w:rPr>
          <w:rFonts w:hint="eastAsia" w:eastAsia="方正仿宋_GBK"/>
          <w:sz w:val="32"/>
          <w:szCs w:val="32"/>
        </w:rPr>
        <w:t>。</w:t>
      </w:r>
    </w:p>
    <w:p>
      <w:pPr>
        <w:spacing w:line="580" w:lineRule="exact"/>
        <w:ind w:firstLine="640" w:firstLineChars="200"/>
        <w:rPr>
          <w:rFonts w:eastAsia="方正仿宋_GBK"/>
          <w:sz w:val="32"/>
          <w:szCs w:val="32"/>
        </w:rPr>
      </w:pPr>
      <w:r>
        <w:rPr>
          <w:rFonts w:hint="eastAsia" w:eastAsia="方正仿宋_GBK"/>
          <w:sz w:val="32"/>
          <w:szCs w:val="32"/>
        </w:rPr>
        <w:t>在具备所规定的副主任护师水平的基础上，精通护理学某一专科的基本理论知识与技能，并有所专长。深入了解本专业国内外现状及发展趋势，不断吸取新理论、新知识、新技术并用于临床实践。具有丰富的本专业工作经验，能独立解决复杂或重大技术问题，具有指导本专业下级护理人员的能力。</w:t>
      </w:r>
    </w:p>
    <w:p>
      <w:pPr>
        <w:spacing w:line="580" w:lineRule="exact"/>
        <w:ind w:firstLine="640" w:firstLineChars="200"/>
        <w:rPr>
          <w:rFonts w:eastAsia="方正仿宋_GBK"/>
          <w:sz w:val="32"/>
          <w:szCs w:val="32"/>
        </w:rPr>
      </w:pPr>
      <w:r>
        <w:rPr>
          <w:rFonts w:hint="eastAsia" w:eastAsia="方正仿宋_GBK"/>
          <w:sz w:val="32"/>
          <w:szCs w:val="32"/>
        </w:rPr>
        <w:t>3.主任药师</w:t>
      </w:r>
    </w:p>
    <w:p>
      <w:pPr>
        <w:spacing w:line="580" w:lineRule="exact"/>
        <w:ind w:firstLine="640" w:firstLineChars="200"/>
        <w:rPr>
          <w:rFonts w:eastAsia="方正仿宋_GBK"/>
          <w:sz w:val="32"/>
          <w:szCs w:val="32"/>
        </w:rPr>
      </w:pPr>
      <w:r>
        <w:rPr>
          <w:rFonts w:hint="eastAsia" w:eastAsia="方正仿宋_GBK"/>
          <w:sz w:val="32"/>
          <w:szCs w:val="32"/>
        </w:rPr>
        <w:t>担任副主任药师职务期间，平均每年参加药学专业工作时间不少于35周，并完成规定的工作数量要求。</w:t>
      </w:r>
    </w:p>
    <w:p>
      <w:pPr>
        <w:spacing w:line="580" w:lineRule="exact"/>
        <w:ind w:firstLine="640" w:firstLineChars="200"/>
        <w:rPr>
          <w:rFonts w:eastAsia="方正仿宋_GBK"/>
          <w:sz w:val="32"/>
          <w:szCs w:val="32"/>
        </w:rPr>
      </w:pPr>
      <w:r>
        <w:rPr>
          <w:rFonts w:hint="eastAsia" w:eastAsia="方正仿宋_GBK"/>
          <w:sz w:val="32"/>
          <w:szCs w:val="32"/>
        </w:rPr>
        <w:t>在具备所规定的副主任药师水平的基础上，精通本专业某一领域的基本理论知识与技能，并有所专长。深入了解本专业国内外现状及发展趋势，不断吸取新理论、新知识、新技术并用于实践。具有丰富的本专业工作经验，能独立解决复杂或重大技术问题，具有指导本专业下级药师的能力。其中，中药专业还应具备中药验收、保管、调剂、临方炮制、煎煮等中药药学服务能力，能够提供中药药物咨询服务，具有中药处方点评工作能力，提供合理使用中药建议。</w:t>
      </w:r>
    </w:p>
    <w:p>
      <w:pPr>
        <w:spacing w:line="580" w:lineRule="exact"/>
        <w:ind w:firstLine="640" w:firstLineChars="200"/>
        <w:rPr>
          <w:rFonts w:eastAsia="方正仿宋_GBK"/>
          <w:sz w:val="32"/>
          <w:szCs w:val="32"/>
        </w:rPr>
      </w:pPr>
      <w:r>
        <w:rPr>
          <w:rFonts w:hint="eastAsia" w:eastAsia="方正仿宋_GBK"/>
          <w:sz w:val="32"/>
          <w:szCs w:val="32"/>
        </w:rPr>
        <w:t>4.主任技师</w:t>
      </w:r>
    </w:p>
    <w:p>
      <w:pPr>
        <w:spacing w:line="580" w:lineRule="exact"/>
        <w:ind w:firstLine="640" w:firstLineChars="200"/>
        <w:rPr>
          <w:rFonts w:eastAsia="方正仿宋_GBK"/>
          <w:sz w:val="32"/>
          <w:szCs w:val="32"/>
        </w:rPr>
      </w:pPr>
      <w:r>
        <w:rPr>
          <w:rFonts w:hint="eastAsia" w:eastAsia="方正仿宋_GBK"/>
          <w:sz w:val="32"/>
          <w:szCs w:val="32"/>
        </w:rPr>
        <w:t>担任副主任技师期间，平均每年参加本专业工作时间不少于35周，并完成规定的工作数量要求</w:t>
      </w:r>
      <w:r>
        <w:rPr>
          <w:rFonts w:hint="eastAsia" w:eastAsia="方正仿宋_GBK"/>
          <w:kern w:val="0"/>
          <w:sz w:val="32"/>
          <w:szCs w:val="32"/>
        </w:rPr>
        <w:t>。</w:t>
      </w:r>
    </w:p>
    <w:p>
      <w:pPr>
        <w:spacing w:line="580" w:lineRule="exact"/>
        <w:ind w:firstLine="640" w:firstLineChars="200"/>
        <w:rPr>
          <w:rFonts w:eastAsia="方正仿宋_GBK"/>
          <w:sz w:val="32"/>
          <w:szCs w:val="32"/>
        </w:rPr>
      </w:pPr>
      <w:r>
        <w:rPr>
          <w:rFonts w:hint="eastAsia" w:eastAsia="方正仿宋_GBK"/>
          <w:sz w:val="32"/>
          <w:szCs w:val="32"/>
        </w:rPr>
        <w:t>在具备所规定的副主任技师水平的基础上，精通本专业某一领域的基本理论知识与技能，并有所专长。深入了解本专业国内外现状及发展趋势，不断吸取新理论、新知识、新技术并用于实践。具有丰富的本专业工作经验，能独立解决复杂或重大技术问题，具有指导本专业下级技师的能力。</w:t>
      </w:r>
    </w:p>
    <w:p>
      <w:pPr>
        <w:spacing w:line="580" w:lineRule="exact"/>
        <w:ind w:firstLine="640" w:firstLineChars="200"/>
        <w:rPr>
          <w:rFonts w:eastAsia="方正仿宋_GBK"/>
          <w:sz w:val="32"/>
          <w:szCs w:val="32"/>
        </w:rPr>
      </w:pPr>
      <w:r>
        <w:rPr>
          <w:rFonts w:hint="eastAsia" w:eastAsia="方正仿宋_GBK"/>
          <w:sz w:val="32"/>
          <w:szCs w:val="32"/>
        </w:rPr>
        <w:t>5.研究员</w:t>
      </w:r>
    </w:p>
    <w:p>
      <w:pPr>
        <w:spacing w:line="580" w:lineRule="exact"/>
        <w:ind w:firstLine="640" w:firstLineChars="200"/>
        <w:rPr>
          <w:rFonts w:eastAsia="方正仿宋_GBK"/>
          <w:kern w:val="0"/>
          <w:sz w:val="32"/>
          <w:szCs w:val="32"/>
        </w:rPr>
      </w:pPr>
      <w:r>
        <w:rPr>
          <w:rFonts w:hint="eastAsia" w:eastAsia="方正仿宋_GBK"/>
          <w:sz w:val="32"/>
          <w:szCs w:val="32"/>
        </w:rPr>
        <w:t>担任副研究员期间，平均每年参加本专业工作时间不少于35周，并完成规定的工作数量要求</w:t>
      </w:r>
      <w:r>
        <w:rPr>
          <w:rFonts w:hint="eastAsia" w:eastAsia="方正仿宋_GBK"/>
          <w:kern w:val="0"/>
          <w:sz w:val="32"/>
          <w:szCs w:val="32"/>
        </w:rPr>
        <w:t>。</w:t>
      </w:r>
    </w:p>
    <w:p>
      <w:pPr>
        <w:spacing w:line="580" w:lineRule="exact"/>
        <w:ind w:firstLine="640" w:firstLineChars="200"/>
        <w:rPr>
          <w:rFonts w:eastAsia="方正仿宋_GBK"/>
          <w:sz w:val="32"/>
          <w:szCs w:val="32"/>
        </w:rPr>
      </w:pPr>
      <w:r>
        <w:rPr>
          <w:rFonts w:hint="eastAsia" w:eastAsia="方正仿宋_GBK"/>
          <w:sz w:val="32"/>
          <w:szCs w:val="32"/>
        </w:rPr>
        <w:t>具有很强的组织协调、综合管理、科学决策等能力，主持或分管过的卫生管理工作卓有成效；有丰富的卫生管理经验，解决过本专业复杂问题和突发问题，其卫生管理经验对卫生改革具有较大的指导意义，在省内外有较大影响。</w:t>
      </w:r>
    </w:p>
    <w:p>
      <w:pPr>
        <w:spacing w:line="580" w:lineRule="exact"/>
        <w:ind w:firstLine="640" w:firstLineChars="200"/>
        <w:rPr>
          <w:rFonts w:eastAsia="方正仿宋_GBK"/>
          <w:sz w:val="32"/>
          <w:szCs w:val="32"/>
        </w:rPr>
      </w:pPr>
      <w:r>
        <w:rPr>
          <w:rFonts w:hint="eastAsia" w:eastAsia="方正仿宋_GBK"/>
          <w:sz w:val="32"/>
          <w:szCs w:val="32"/>
        </w:rPr>
        <w:t>第十九条</w:t>
      </w:r>
      <w:r>
        <w:rPr>
          <w:rFonts w:hint="eastAsia" w:eastAsia="方正仿宋_GBK"/>
          <w:sz w:val="32"/>
          <w:szCs w:val="32"/>
          <w:lang w:val="en-US" w:eastAsia="zh-CN"/>
        </w:rPr>
        <w:t xml:space="preserve"> </w:t>
      </w:r>
      <w:r>
        <w:rPr>
          <w:rFonts w:hint="eastAsia" w:eastAsia="方正仿宋_GBK"/>
          <w:sz w:val="32"/>
          <w:szCs w:val="32"/>
        </w:rPr>
        <w:t>工作业绩或成果要求</w:t>
      </w:r>
    </w:p>
    <w:p>
      <w:pPr>
        <w:spacing w:line="580" w:lineRule="exact"/>
        <w:ind w:firstLine="640" w:firstLineChars="200"/>
        <w:rPr>
          <w:rFonts w:eastAsia="方正仿宋_GBK"/>
          <w:sz w:val="32"/>
          <w:szCs w:val="32"/>
        </w:rPr>
      </w:pPr>
      <w:r>
        <w:rPr>
          <w:rFonts w:hint="eastAsia" w:eastAsia="方正仿宋_GBK"/>
          <w:sz w:val="32"/>
          <w:szCs w:val="32"/>
        </w:rPr>
        <w:t>工作业绩或成果</w:t>
      </w:r>
      <w:r>
        <w:rPr>
          <w:rFonts w:eastAsia="方正仿宋_GBK"/>
          <w:sz w:val="32"/>
          <w:szCs w:val="32"/>
        </w:rPr>
        <w:t>实行代表作制度。</w:t>
      </w:r>
      <w:r>
        <w:rPr>
          <w:rFonts w:hint="eastAsia" w:eastAsia="方正仿宋_GBK"/>
          <w:sz w:val="32"/>
          <w:szCs w:val="32"/>
        </w:rPr>
        <w:t>取得副高资格后，须提供下列10项业绩或成果材料中的2项，作为代表作参评：</w:t>
      </w:r>
    </w:p>
    <w:p>
      <w:pPr>
        <w:spacing w:line="580" w:lineRule="exact"/>
        <w:ind w:firstLine="640" w:firstLineChars="200"/>
        <w:rPr>
          <w:rFonts w:eastAsia="方正仿宋_GBK"/>
          <w:sz w:val="32"/>
          <w:szCs w:val="32"/>
        </w:rPr>
      </w:pPr>
      <w:r>
        <w:rPr>
          <w:rFonts w:hint="eastAsia" w:eastAsia="方正仿宋_GBK"/>
          <w:sz w:val="32"/>
          <w:szCs w:val="32"/>
        </w:rPr>
        <w:t>（一）作为第一完成人承担完成市（厅）级及以上科研项目2项。</w:t>
      </w:r>
    </w:p>
    <w:p>
      <w:pPr>
        <w:spacing w:line="580" w:lineRule="exact"/>
        <w:ind w:firstLine="640" w:firstLineChars="200"/>
        <w:rPr>
          <w:rFonts w:eastAsia="方正仿宋_GBK"/>
          <w:sz w:val="32"/>
          <w:szCs w:val="32"/>
        </w:rPr>
      </w:pPr>
      <w:r>
        <w:rPr>
          <w:rFonts w:hint="eastAsia" w:eastAsia="方正仿宋_GBK"/>
          <w:sz w:val="32"/>
          <w:szCs w:val="32"/>
        </w:rPr>
        <w:t>（二）作为第一完成人获得本专业相关的授权发明专利证书2项。</w:t>
      </w:r>
    </w:p>
    <w:p>
      <w:pPr>
        <w:spacing w:line="580" w:lineRule="exact"/>
        <w:ind w:firstLine="640" w:firstLineChars="200"/>
        <w:rPr>
          <w:rFonts w:eastAsia="方正仿宋_GBK"/>
          <w:sz w:val="32"/>
          <w:szCs w:val="32"/>
        </w:rPr>
      </w:pPr>
      <w:r>
        <w:rPr>
          <w:rFonts w:hint="eastAsia" w:eastAsia="方正仿宋_GBK"/>
          <w:sz w:val="32"/>
          <w:szCs w:val="32"/>
        </w:rPr>
        <w:t>（三）参与制定本专业</w:t>
      </w:r>
      <w:r>
        <w:rPr>
          <w:rFonts w:eastAsia="方正仿宋_GBK"/>
          <w:sz w:val="32"/>
          <w:szCs w:val="32"/>
        </w:rPr>
        <w:t>国家标准、行业标准、地方标准</w:t>
      </w:r>
      <w:r>
        <w:rPr>
          <w:rFonts w:hint="eastAsia" w:eastAsia="方正仿宋_GBK"/>
          <w:sz w:val="32"/>
          <w:szCs w:val="32"/>
        </w:rPr>
        <w:t>或</w:t>
      </w:r>
      <w:r>
        <w:rPr>
          <w:rFonts w:eastAsia="方正仿宋_GBK"/>
          <w:sz w:val="32"/>
          <w:szCs w:val="32"/>
        </w:rPr>
        <w:t>技术规范</w:t>
      </w:r>
      <w:r>
        <w:rPr>
          <w:rFonts w:hint="eastAsia" w:eastAsia="方正仿宋_GBK"/>
          <w:sz w:val="32"/>
          <w:szCs w:val="32"/>
        </w:rPr>
        <w:t>2项。</w:t>
      </w:r>
    </w:p>
    <w:p>
      <w:pPr>
        <w:spacing w:line="580" w:lineRule="exact"/>
        <w:ind w:firstLine="640" w:firstLineChars="200"/>
        <w:rPr>
          <w:rFonts w:eastAsia="方正仿宋_GBK"/>
          <w:sz w:val="32"/>
          <w:szCs w:val="32"/>
        </w:rPr>
      </w:pPr>
      <w:r>
        <w:rPr>
          <w:rFonts w:hint="eastAsia" w:eastAsia="方正仿宋_GBK"/>
          <w:sz w:val="32"/>
          <w:szCs w:val="32"/>
        </w:rPr>
        <w:t>（四）在有正式期刊号的专业期刊上公开发表本专业学术论文（第一作者或通讯作者）2篇以上。</w:t>
      </w:r>
    </w:p>
    <w:p>
      <w:pPr>
        <w:spacing w:line="580" w:lineRule="exact"/>
        <w:ind w:firstLine="640" w:firstLineChars="200"/>
        <w:rPr>
          <w:rFonts w:eastAsia="方正仿宋_GBK"/>
          <w:sz w:val="32"/>
          <w:szCs w:val="32"/>
        </w:rPr>
      </w:pPr>
      <w:r>
        <w:rPr>
          <w:rFonts w:hint="eastAsia" w:eastAsia="方正仿宋_GBK"/>
          <w:sz w:val="32"/>
          <w:szCs w:val="32"/>
        </w:rPr>
        <w:t>（五）出版本专业有较高学术水平的专著2部（主编或副主编，本人撰写10万字以上）。</w:t>
      </w:r>
    </w:p>
    <w:p>
      <w:pPr>
        <w:spacing w:line="580" w:lineRule="exact"/>
        <w:ind w:firstLine="640" w:firstLineChars="200"/>
        <w:rPr>
          <w:rFonts w:eastAsia="方正仿宋_GBK"/>
          <w:sz w:val="32"/>
          <w:szCs w:val="32"/>
        </w:rPr>
      </w:pPr>
      <w:r>
        <w:rPr>
          <w:rFonts w:hint="eastAsia" w:eastAsia="方正仿宋_GBK"/>
          <w:sz w:val="32"/>
          <w:szCs w:val="32"/>
        </w:rPr>
        <w:t>（六）参与编写公开出版的向大众普及本专业科学知识的科普专著2部（主编或副主编，本人撰写10万字以上）。</w:t>
      </w:r>
    </w:p>
    <w:p>
      <w:pPr>
        <w:spacing w:line="580" w:lineRule="exact"/>
        <w:ind w:firstLine="640" w:firstLineChars="200"/>
        <w:rPr>
          <w:rFonts w:eastAsia="方正仿宋_GBK"/>
          <w:sz w:val="32"/>
          <w:szCs w:val="32"/>
        </w:rPr>
      </w:pPr>
      <w:r>
        <w:rPr>
          <w:rFonts w:hint="eastAsia" w:eastAsia="方正仿宋_GBK"/>
          <w:sz w:val="32"/>
          <w:szCs w:val="32"/>
        </w:rPr>
        <w:t>（七）本人主持、主治的较高专业技术水平的原始病案3份。</w:t>
      </w:r>
    </w:p>
    <w:p>
      <w:pPr>
        <w:spacing w:line="580" w:lineRule="exact"/>
        <w:ind w:firstLine="640" w:firstLineChars="200"/>
        <w:rPr>
          <w:rFonts w:eastAsia="方正仿宋_GBK"/>
          <w:sz w:val="32"/>
          <w:szCs w:val="32"/>
        </w:rPr>
      </w:pPr>
      <w:r>
        <w:rPr>
          <w:rFonts w:hint="eastAsia" w:eastAsia="方正仿宋_GBK"/>
          <w:sz w:val="32"/>
          <w:szCs w:val="32"/>
        </w:rPr>
        <w:t>（八）作为责任护士护理的疑难、危重症患者原始病案2份（含病案首页、病程记录、护理记录），</w:t>
      </w:r>
      <w:r>
        <w:rPr>
          <w:rFonts w:eastAsia="方正仿宋_GBK"/>
          <w:sz w:val="32"/>
          <w:szCs w:val="32"/>
        </w:rPr>
        <w:t>并各附</w:t>
      </w:r>
      <w:r>
        <w:rPr>
          <w:rFonts w:hint="eastAsia" w:eastAsia="方正仿宋_GBK"/>
          <w:sz w:val="32"/>
          <w:szCs w:val="32"/>
        </w:rPr>
        <w:t>1份</w:t>
      </w:r>
      <w:r>
        <w:rPr>
          <w:rFonts w:eastAsia="方正仿宋_GBK"/>
          <w:sz w:val="32"/>
          <w:szCs w:val="32"/>
        </w:rPr>
        <w:t>分析报告。</w:t>
      </w:r>
    </w:p>
    <w:p>
      <w:pPr>
        <w:spacing w:line="580" w:lineRule="exact"/>
        <w:ind w:firstLine="640" w:firstLineChars="200"/>
        <w:rPr>
          <w:rFonts w:eastAsia="方正仿宋_GBK"/>
          <w:sz w:val="32"/>
          <w:szCs w:val="32"/>
        </w:rPr>
      </w:pPr>
      <w:r>
        <w:rPr>
          <w:rFonts w:hint="eastAsia" w:eastAsia="方正仿宋_GBK"/>
          <w:sz w:val="32"/>
          <w:szCs w:val="32"/>
        </w:rPr>
        <w:t>（九）反映实际工作中解决本专业复杂疑难问题的专题报告（流行病学调查报告、应急处置情况报告、持续质量改进项目等）3份。</w:t>
      </w:r>
    </w:p>
    <w:p>
      <w:pPr>
        <w:spacing w:line="580" w:lineRule="exact"/>
        <w:ind w:firstLine="640" w:firstLineChars="200"/>
        <w:rPr>
          <w:rFonts w:eastAsia="方正仿宋_GBK"/>
          <w:sz w:val="32"/>
          <w:szCs w:val="32"/>
        </w:rPr>
      </w:pPr>
      <w:r>
        <w:rPr>
          <w:rFonts w:hint="eastAsia" w:eastAsia="方正仿宋_GBK"/>
          <w:kern w:val="0"/>
          <w:sz w:val="32"/>
          <w:szCs w:val="32"/>
        </w:rPr>
        <w:t>（十）其他省级卫生健康行政部门认可的业绩成果材料2份。</w:t>
      </w:r>
    </w:p>
    <w:p>
      <w:pPr>
        <w:spacing w:before="315" w:beforeLines="100" w:after="315" w:afterLines="100" w:line="580" w:lineRule="exact"/>
        <w:jc w:val="center"/>
        <w:rPr>
          <w:rStyle w:val="12"/>
          <w:rFonts w:eastAsia="方正黑体_GBK"/>
          <w:b w:val="0"/>
          <w:sz w:val="32"/>
          <w:szCs w:val="32"/>
        </w:rPr>
      </w:pPr>
      <w:r>
        <w:rPr>
          <w:rStyle w:val="12"/>
          <w:rFonts w:eastAsia="方正黑体_GBK"/>
          <w:b w:val="0"/>
          <w:sz w:val="32"/>
          <w:szCs w:val="32"/>
        </w:rPr>
        <w:t>第</w:t>
      </w:r>
      <w:r>
        <w:rPr>
          <w:rStyle w:val="12"/>
          <w:rFonts w:hint="eastAsia" w:eastAsia="方正黑体_GBK"/>
          <w:b w:val="0"/>
          <w:sz w:val="32"/>
          <w:szCs w:val="32"/>
        </w:rPr>
        <w:t>七</w:t>
      </w:r>
      <w:r>
        <w:rPr>
          <w:rStyle w:val="12"/>
          <w:rFonts w:eastAsia="方正黑体_GBK"/>
          <w:b w:val="0"/>
          <w:sz w:val="32"/>
          <w:szCs w:val="32"/>
        </w:rPr>
        <w:t>章  激励政策</w:t>
      </w:r>
    </w:p>
    <w:p>
      <w:pPr>
        <w:spacing w:line="580" w:lineRule="exact"/>
        <w:ind w:firstLine="640" w:firstLineChars="200"/>
        <w:rPr>
          <w:rFonts w:eastAsia="方正仿宋_GBK"/>
          <w:sz w:val="32"/>
          <w:szCs w:val="32"/>
        </w:rPr>
      </w:pPr>
      <w:r>
        <w:rPr>
          <w:rFonts w:hint="eastAsia" w:eastAsia="方正仿宋_GBK"/>
          <w:sz w:val="32"/>
          <w:szCs w:val="32"/>
        </w:rPr>
        <w:t>第二十条 对符合下列条件之一的，在职称评审时同等条件下给予适当倾斜：</w:t>
      </w:r>
    </w:p>
    <w:p>
      <w:pPr>
        <w:spacing w:line="580" w:lineRule="exact"/>
        <w:ind w:firstLine="640" w:firstLineChars="200"/>
        <w:rPr>
          <w:rFonts w:eastAsia="方正仿宋_GBK"/>
          <w:sz w:val="32"/>
          <w:szCs w:val="32"/>
        </w:rPr>
      </w:pPr>
      <w:r>
        <w:rPr>
          <w:rFonts w:hint="eastAsia" w:eastAsia="方正仿宋_GBK"/>
          <w:sz w:val="32"/>
          <w:szCs w:val="32"/>
        </w:rPr>
        <w:t>（一）申报副高在急救中心、精神病医院、传染病医院从事相应专业技术工作满20年；申报正高在急救中心、精神病医院、传染病医院从事相应专业技术工作满25年。</w:t>
      </w:r>
    </w:p>
    <w:p>
      <w:pPr>
        <w:spacing w:line="580" w:lineRule="exact"/>
        <w:ind w:firstLine="640" w:firstLineChars="200"/>
        <w:rPr>
          <w:rFonts w:eastAsia="方正仿宋_GBK"/>
          <w:sz w:val="32"/>
          <w:szCs w:val="32"/>
        </w:rPr>
      </w:pPr>
      <w:r>
        <w:rPr>
          <w:rFonts w:hint="eastAsia" w:eastAsia="方正仿宋_GBK"/>
          <w:sz w:val="32"/>
          <w:szCs w:val="32"/>
        </w:rPr>
        <w:t>（二）任现职期间，服从组织安排，受党委政府指派参加援外、对口支援、东西部协作等援助任务1年以上。其中，援外医疗队队员（1年期及以上）在援外期间及回国一年半内可提前1年申报高级职称。</w:t>
      </w:r>
    </w:p>
    <w:p>
      <w:pPr>
        <w:spacing w:line="580" w:lineRule="exact"/>
        <w:ind w:firstLine="640" w:firstLineChars="200"/>
        <w:rPr>
          <w:rFonts w:eastAsia="方正仿宋_GBK"/>
          <w:sz w:val="32"/>
          <w:szCs w:val="32"/>
        </w:rPr>
      </w:pPr>
      <w:r>
        <w:rPr>
          <w:rFonts w:hint="eastAsia" w:eastAsia="方正仿宋_GBK"/>
          <w:sz w:val="32"/>
          <w:szCs w:val="32"/>
        </w:rPr>
        <w:t>（三）任现职期间，受政府指派参加突发公共卫生事件处置、抢险救灾等重要任务，且获得县（区）级以上党委政府或省级以上部门表彰的。</w:t>
      </w:r>
    </w:p>
    <w:p>
      <w:pPr>
        <w:spacing w:line="580" w:lineRule="exact"/>
        <w:ind w:firstLine="640" w:firstLineChars="200"/>
        <w:rPr>
          <w:rFonts w:eastAsia="方正仿宋_GBK"/>
          <w:sz w:val="32"/>
          <w:szCs w:val="32"/>
        </w:rPr>
      </w:pPr>
      <w:r>
        <w:rPr>
          <w:rFonts w:hint="eastAsia" w:eastAsia="方正仿宋_GBK"/>
          <w:sz w:val="32"/>
          <w:szCs w:val="32"/>
        </w:rPr>
        <w:t>（四）参与其他重大政治任务的按有关文件规定执行。</w:t>
      </w:r>
    </w:p>
    <w:p>
      <w:pPr>
        <w:spacing w:before="315" w:beforeLines="100" w:after="315" w:afterLines="100" w:line="580" w:lineRule="exact"/>
        <w:jc w:val="center"/>
        <w:rPr>
          <w:rStyle w:val="12"/>
          <w:rFonts w:eastAsia="方正黑体_GBK"/>
        </w:rPr>
      </w:pPr>
      <w:r>
        <w:rPr>
          <w:rStyle w:val="12"/>
          <w:rFonts w:eastAsia="方正黑体_GBK"/>
          <w:b w:val="0"/>
          <w:sz w:val="32"/>
          <w:szCs w:val="32"/>
        </w:rPr>
        <w:t>第</w:t>
      </w:r>
      <w:r>
        <w:rPr>
          <w:rStyle w:val="12"/>
          <w:rFonts w:hint="eastAsia" w:eastAsia="方正黑体_GBK"/>
          <w:b w:val="0"/>
          <w:sz w:val="32"/>
          <w:szCs w:val="32"/>
        </w:rPr>
        <w:t>八</w:t>
      </w:r>
      <w:r>
        <w:rPr>
          <w:rStyle w:val="12"/>
          <w:rFonts w:eastAsia="方正黑体_GBK"/>
          <w:b w:val="0"/>
          <w:sz w:val="32"/>
          <w:szCs w:val="32"/>
        </w:rPr>
        <w:t>章  附则</w:t>
      </w:r>
    </w:p>
    <w:p>
      <w:pPr>
        <w:spacing w:line="580" w:lineRule="exact"/>
        <w:ind w:firstLine="640" w:firstLineChars="200"/>
        <w:rPr>
          <w:rFonts w:eastAsia="方正仿宋_GBK"/>
          <w:sz w:val="32"/>
          <w:szCs w:val="32"/>
        </w:rPr>
      </w:pPr>
      <w:r>
        <w:rPr>
          <w:rFonts w:hint="eastAsia" w:eastAsia="方正仿宋_GBK"/>
          <w:sz w:val="32"/>
          <w:szCs w:val="32"/>
        </w:rPr>
        <w:t>第二十一条</w:t>
      </w:r>
      <w:r>
        <w:rPr>
          <w:rFonts w:hint="eastAsia" w:eastAsia="方正仿宋_GBK"/>
          <w:sz w:val="32"/>
          <w:szCs w:val="32"/>
          <w:lang w:val="en-US" w:eastAsia="zh-CN"/>
        </w:rPr>
        <w:t xml:space="preserve"> </w:t>
      </w:r>
      <w:r>
        <w:rPr>
          <w:rFonts w:hint="eastAsia" w:eastAsia="方正仿宋_GBK"/>
          <w:sz w:val="32"/>
          <w:szCs w:val="32"/>
        </w:rPr>
        <w:t>申报人应当为本单位在职的专业技术人员，对照相应级别专业技术资格条件，在规定期限内按程序提交申报材料。</w:t>
      </w:r>
    </w:p>
    <w:p>
      <w:pPr>
        <w:spacing w:line="580" w:lineRule="exact"/>
        <w:ind w:firstLine="640" w:firstLineChars="200"/>
        <w:rPr>
          <w:rFonts w:eastAsia="方正仿宋_GBK"/>
          <w:sz w:val="32"/>
          <w:szCs w:val="32"/>
        </w:rPr>
      </w:pPr>
      <w:r>
        <w:rPr>
          <w:rFonts w:hint="eastAsia" w:eastAsia="方正仿宋_GBK"/>
          <w:sz w:val="32"/>
          <w:szCs w:val="32"/>
        </w:rPr>
        <w:t>第二十二条</w:t>
      </w:r>
      <w:r>
        <w:rPr>
          <w:rFonts w:hint="eastAsia" w:eastAsia="方正仿宋_GBK"/>
          <w:sz w:val="32"/>
          <w:szCs w:val="32"/>
          <w:lang w:val="en-US" w:eastAsia="zh-CN"/>
        </w:rPr>
        <w:t xml:space="preserve"> </w:t>
      </w:r>
      <w:r>
        <w:rPr>
          <w:rFonts w:hint="eastAsia" w:eastAsia="方正仿宋_GBK"/>
          <w:sz w:val="32"/>
          <w:szCs w:val="32"/>
        </w:rPr>
        <w:t>实行申报告知承诺制。申请人对提交材料的真实性、准确性、有效性等做出承诺，并自愿接受因失信行为带来的各项处罚。对通过弄虚作假、暗箱操作等违纪违规行为取得的职称，一经查实，由发文单位予以撤销，失信行为由省人力资源社会保障厅记入诚信档案库，并报送省信用信息共享平台，记录期为3年，记录期从发文撤销职称之日起算，记录期内不得申报职称。</w:t>
      </w:r>
    </w:p>
    <w:p>
      <w:pPr>
        <w:spacing w:line="580" w:lineRule="exact"/>
        <w:ind w:firstLine="640" w:firstLineChars="200"/>
        <w:rPr>
          <w:rFonts w:eastAsia="方正仿宋_GBK"/>
          <w:sz w:val="32"/>
          <w:szCs w:val="32"/>
        </w:rPr>
      </w:pPr>
      <w:r>
        <w:rPr>
          <w:rFonts w:hint="eastAsia" w:eastAsia="方正仿宋_GBK"/>
          <w:sz w:val="32"/>
          <w:szCs w:val="32"/>
        </w:rPr>
        <w:t>第二十三条</w:t>
      </w:r>
      <w:r>
        <w:rPr>
          <w:rFonts w:hint="eastAsia" w:eastAsia="方正仿宋_GBK"/>
          <w:sz w:val="32"/>
          <w:szCs w:val="32"/>
          <w:lang w:val="en-US" w:eastAsia="zh-CN"/>
        </w:rPr>
        <w:t xml:space="preserve"> </w:t>
      </w:r>
      <w:r>
        <w:rPr>
          <w:rFonts w:hint="eastAsia" w:eastAsia="方正仿宋_GBK"/>
          <w:sz w:val="32"/>
          <w:szCs w:val="32"/>
        </w:rPr>
        <w:t>自主评审地区和单位可在不低于本资格条件的前提下，制定符合本地区或本单位实际的资格条件，并报省职称工作职能部门和省卫生健康行政部门备案后实施。</w:t>
      </w:r>
    </w:p>
    <w:p>
      <w:pPr>
        <w:spacing w:line="580" w:lineRule="exact"/>
        <w:ind w:firstLine="640" w:firstLineChars="200"/>
        <w:rPr>
          <w:rStyle w:val="12"/>
          <w:rFonts w:eastAsia="方正黑体_GBK"/>
          <w:b w:val="0"/>
          <w:sz w:val="32"/>
          <w:szCs w:val="32"/>
        </w:rPr>
      </w:pPr>
      <w:r>
        <w:rPr>
          <w:rFonts w:hint="eastAsia" w:eastAsia="方正仿宋_GBK"/>
          <w:sz w:val="32"/>
          <w:szCs w:val="32"/>
        </w:rPr>
        <w:t>第二十四条</w:t>
      </w:r>
      <w:r>
        <w:rPr>
          <w:rFonts w:hint="eastAsia" w:eastAsia="方正仿宋_GBK"/>
          <w:sz w:val="32"/>
          <w:szCs w:val="32"/>
          <w:lang w:val="en-US" w:eastAsia="zh-CN"/>
        </w:rPr>
        <w:t xml:space="preserve"> </w:t>
      </w:r>
      <w:r>
        <w:rPr>
          <w:rFonts w:hint="eastAsia" w:eastAsia="方正仿宋_GBK"/>
          <w:sz w:val="32"/>
          <w:szCs w:val="32"/>
        </w:rPr>
        <w:t>与本条件相关的材料要求、词（语）或概念的特定解释、若干问题的说明等详见附录。</w:t>
      </w:r>
    </w:p>
    <w:p>
      <w:pPr>
        <w:spacing w:before="315" w:beforeLines="100" w:after="315" w:afterLines="100" w:line="580" w:lineRule="exact"/>
        <w:jc w:val="center"/>
        <w:rPr>
          <w:rFonts w:eastAsia="方正黑体_GBK"/>
          <w:sz w:val="32"/>
          <w:szCs w:val="32"/>
        </w:rPr>
      </w:pPr>
      <w:r>
        <w:rPr>
          <w:rStyle w:val="12"/>
          <w:rFonts w:eastAsia="方正黑体_GBK"/>
          <w:b w:val="0"/>
          <w:sz w:val="32"/>
          <w:szCs w:val="32"/>
        </w:rPr>
        <w:t>附　 录</w:t>
      </w:r>
    </w:p>
    <w:p>
      <w:pPr>
        <w:spacing w:line="580" w:lineRule="exact"/>
        <w:ind w:firstLine="640" w:firstLineChars="200"/>
        <w:rPr>
          <w:rFonts w:eastAsia="方正仿宋_GBK"/>
          <w:sz w:val="32"/>
          <w:szCs w:val="32"/>
        </w:rPr>
      </w:pPr>
      <w:r>
        <w:rPr>
          <w:rFonts w:hint="eastAsia" w:eastAsia="方正仿宋_GBK"/>
          <w:sz w:val="32"/>
          <w:szCs w:val="32"/>
        </w:rPr>
        <w:t>一、有关的词（语）或概念的特定解释</w:t>
      </w:r>
    </w:p>
    <w:p>
      <w:pPr>
        <w:spacing w:line="580" w:lineRule="exact"/>
        <w:ind w:firstLine="640" w:firstLineChars="200"/>
        <w:rPr>
          <w:rFonts w:eastAsia="方正仿宋_GBK"/>
          <w:sz w:val="32"/>
          <w:szCs w:val="32"/>
        </w:rPr>
      </w:pPr>
      <w:r>
        <w:rPr>
          <w:rFonts w:hint="eastAsia" w:eastAsia="方正仿宋_GBK"/>
          <w:sz w:val="32"/>
          <w:szCs w:val="32"/>
        </w:rPr>
        <w:t>1．精通：深刻的研究，透彻理解，应用娴熟。</w:t>
      </w:r>
    </w:p>
    <w:p>
      <w:pPr>
        <w:spacing w:line="580" w:lineRule="exact"/>
        <w:ind w:firstLine="640" w:firstLineChars="200"/>
        <w:rPr>
          <w:rFonts w:eastAsia="方正仿宋_GBK"/>
          <w:sz w:val="32"/>
          <w:szCs w:val="32"/>
        </w:rPr>
      </w:pPr>
      <w:r>
        <w:rPr>
          <w:rFonts w:hint="eastAsia" w:eastAsia="方正仿宋_GBK"/>
          <w:sz w:val="32"/>
          <w:szCs w:val="32"/>
        </w:rPr>
        <w:t>2．系统掌握：熟知并能应用自如。</w:t>
      </w:r>
    </w:p>
    <w:p>
      <w:pPr>
        <w:spacing w:line="580" w:lineRule="exact"/>
        <w:ind w:firstLine="640" w:firstLineChars="200"/>
        <w:rPr>
          <w:rFonts w:eastAsia="方正仿宋_GBK"/>
          <w:sz w:val="32"/>
          <w:szCs w:val="32"/>
        </w:rPr>
      </w:pPr>
      <w:r>
        <w:rPr>
          <w:rFonts w:hint="eastAsia" w:eastAsia="方正仿宋_GBK"/>
          <w:sz w:val="32"/>
          <w:szCs w:val="32"/>
        </w:rPr>
        <w:t>3．掌握：充分理解，较好地应用。</w:t>
      </w:r>
    </w:p>
    <w:p>
      <w:pPr>
        <w:spacing w:line="580" w:lineRule="exact"/>
        <w:ind w:firstLine="640" w:firstLineChars="200"/>
        <w:rPr>
          <w:rFonts w:eastAsia="方正仿宋_GBK"/>
          <w:sz w:val="32"/>
          <w:szCs w:val="32"/>
        </w:rPr>
      </w:pPr>
      <w:r>
        <w:rPr>
          <w:rFonts w:hint="eastAsia" w:eastAsia="方正仿宋_GBK"/>
          <w:sz w:val="32"/>
          <w:szCs w:val="32"/>
        </w:rPr>
        <w:t>4．论文：指在国家新闻出版署批准的医学类或相关专业期刊（包括连续型电子期刊）上发表的本专业文章，不包括个案报道、综述和译文。</w:t>
      </w:r>
    </w:p>
    <w:p>
      <w:pPr>
        <w:spacing w:line="580" w:lineRule="exact"/>
        <w:ind w:firstLine="640" w:firstLineChars="200"/>
        <w:rPr>
          <w:rFonts w:eastAsia="方正仿宋_GBK"/>
          <w:sz w:val="32"/>
          <w:szCs w:val="32"/>
        </w:rPr>
      </w:pPr>
      <w:r>
        <w:rPr>
          <w:rFonts w:hint="eastAsia" w:eastAsia="方正仿宋_GBK"/>
          <w:sz w:val="32"/>
          <w:szCs w:val="32"/>
        </w:rPr>
        <w:t>5．专著：指取得统一书号“ISBN”，公开出版发行的本专业学术专著。教材、论文汇编类等不在此列。</w:t>
      </w:r>
    </w:p>
    <w:p>
      <w:pPr>
        <w:spacing w:line="580" w:lineRule="exact"/>
        <w:ind w:firstLine="640" w:firstLineChars="200"/>
        <w:rPr>
          <w:rFonts w:eastAsia="方正仿宋_GBK"/>
          <w:sz w:val="32"/>
          <w:szCs w:val="32"/>
        </w:rPr>
      </w:pPr>
      <w:r>
        <w:rPr>
          <w:rFonts w:hint="eastAsia" w:eastAsia="方正仿宋_GBK"/>
          <w:sz w:val="32"/>
          <w:szCs w:val="32"/>
        </w:rPr>
        <w:t>6．表彰：指政府授予的劳动模范，或政府人社部门参与的系统先进工作者等个人表彰。</w:t>
      </w:r>
    </w:p>
    <w:p>
      <w:pPr>
        <w:spacing w:line="580" w:lineRule="exact"/>
        <w:ind w:firstLine="640" w:firstLineChars="200"/>
        <w:rPr>
          <w:rFonts w:eastAsia="方正仿宋_GBK"/>
          <w:sz w:val="32"/>
          <w:szCs w:val="32"/>
        </w:rPr>
      </w:pPr>
      <w:r>
        <w:rPr>
          <w:rFonts w:hint="eastAsia" w:eastAsia="方正仿宋_GBK"/>
          <w:sz w:val="32"/>
          <w:szCs w:val="32"/>
        </w:rPr>
        <w:t>7．市（厅）级：指设区市和省级业务主管厅（局）。</w:t>
      </w:r>
    </w:p>
    <w:p>
      <w:pPr>
        <w:spacing w:line="580" w:lineRule="exact"/>
        <w:ind w:firstLine="640" w:firstLineChars="200"/>
        <w:rPr>
          <w:rFonts w:eastAsia="方正仿宋_GBK"/>
          <w:sz w:val="32"/>
          <w:szCs w:val="32"/>
        </w:rPr>
      </w:pPr>
      <w:r>
        <w:rPr>
          <w:rFonts w:hint="eastAsia" w:eastAsia="方正仿宋_GBK"/>
          <w:sz w:val="32"/>
          <w:szCs w:val="32"/>
        </w:rPr>
        <w:t>8．主要完成人：指科研课题中排名前3的人员。</w:t>
      </w:r>
    </w:p>
    <w:p>
      <w:pPr>
        <w:spacing w:line="580" w:lineRule="exact"/>
        <w:ind w:firstLine="640" w:firstLineChars="200"/>
        <w:rPr>
          <w:rFonts w:eastAsia="方正仿宋_GBK"/>
          <w:sz w:val="32"/>
          <w:szCs w:val="32"/>
        </w:rPr>
      </w:pPr>
      <w:r>
        <w:rPr>
          <w:rFonts w:hint="eastAsia" w:eastAsia="方正仿宋_GBK"/>
          <w:sz w:val="32"/>
          <w:szCs w:val="32"/>
        </w:rPr>
        <w:t>二、本条件若干问题的说明</w:t>
      </w:r>
    </w:p>
    <w:p>
      <w:pPr>
        <w:spacing w:line="580" w:lineRule="exact"/>
        <w:ind w:firstLine="640" w:firstLineChars="200"/>
        <w:rPr>
          <w:rFonts w:eastAsia="方正仿宋_GBK"/>
          <w:sz w:val="32"/>
          <w:szCs w:val="32"/>
        </w:rPr>
      </w:pPr>
      <w:r>
        <w:rPr>
          <w:rFonts w:hint="eastAsia" w:eastAsia="方正仿宋_GBK"/>
          <w:sz w:val="32"/>
          <w:szCs w:val="32"/>
        </w:rPr>
        <w:t>1．年度考核、医德考评</w:t>
      </w:r>
    </w:p>
    <w:p>
      <w:pPr>
        <w:spacing w:line="580" w:lineRule="exact"/>
        <w:ind w:firstLine="640" w:firstLineChars="200"/>
        <w:rPr>
          <w:rFonts w:eastAsia="方正仿宋_GBK"/>
          <w:sz w:val="32"/>
          <w:szCs w:val="32"/>
        </w:rPr>
      </w:pPr>
      <w:r>
        <w:rPr>
          <w:rFonts w:hint="eastAsia" w:eastAsia="方正仿宋_GBK"/>
          <w:sz w:val="32"/>
          <w:szCs w:val="32"/>
        </w:rPr>
        <w:t>申报人员应提交现资格聘用以来近5年的年度考核登记表；医疗机构的医务人员应提交现资格聘用以来近5年的《医务人员医德考评表》。</w:t>
      </w:r>
    </w:p>
    <w:p>
      <w:pPr>
        <w:spacing w:line="580" w:lineRule="exact"/>
        <w:ind w:firstLine="640" w:firstLineChars="200"/>
        <w:rPr>
          <w:rFonts w:eastAsia="方正仿宋_GBK"/>
          <w:sz w:val="32"/>
          <w:szCs w:val="32"/>
        </w:rPr>
      </w:pPr>
      <w:r>
        <w:rPr>
          <w:rFonts w:hint="eastAsia" w:eastAsia="方正仿宋_GBK"/>
          <w:sz w:val="32"/>
          <w:szCs w:val="32"/>
        </w:rPr>
        <w:t xml:space="preserve">2．学历（学位）： </w:t>
      </w:r>
    </w:p>
    <w:p>
      <w:pPr>
        <w:spacing w:line="580" w:lineRule="exact"/>
        <w:ind w:firstLine="640" w:firstLineChars="200"/>
        <w:rPr>
          <w:rFonts w:eastAsia="方正仿宋_GBK"/>
          <w:sz w:val="32"/>
          <w:szCs w:val="32"/>
        </w:rPr>
      </w:pPr>
      <w:r>
        <w:rPr>
          <w:rFonts w:hint="eastAsia" w:eastAsia="方正仿宋_GBK"/>
          <w:sz w:val="32"/>
          <w:szCs w:val="32"/>
        </w:rPr>
        <w:t>申报卫生专业技术资格应具备国家教育和卫生健康行政部门认可，列入国民教育系列的本专业或相应专业的学历（学位），军队院校面向社会招生培养、成人教育、或在境外（含港、澳、台）院校取得的专业学历（学位），应是教育部门认可的学历（学位）。</w:t>
      </w:r>
    </w:p>
    <w:p>
      <w:pPr>
        <w:spacing w:line="580" w:lineRule="exact"/>
        <w:ind w:firstLine="640" w:firstLineChars="200"/>
        <w:rPr>
          <w:rFonts w:eastAsia="方正仿宋_GBK"/>
          <w:sz w:val="32"/>
          <w:szCs w:val="32"/>
        </w:rPr>
      </w:pPr>
      <w:r>
        <w:rPr>
          <w:rFonts w:hint="eastAsia" w:eastAsia="方正仿宋_GBK"/>
          <w:sz w:val="32"/>
          <w:szCs w:val="32"/>
        </w:rPr>
        <w:t>申报有执业医师资格要求的专业，应提交医学类（不含基础医学类）专业学历（学位）证书。</w:t>
      </w:r>
    </w:p>
    <w:p>
      <w:pPr>
        <w:spacing w:line="580" w:lineRule="exact"/>
        <w:ind w:firstLine="640" w:firstLineChars="200"/>
        <w:rPr>
          <w:rFonts w:eastAsia="方正仿宋_GBK"/>
          <w:sz w:val="32"/>
          <w:szCs w:val="32"/>
        </w:rPr>
      </w:pPr>
      <w:r>
        <w:rPr>
          <w:rFonts w:hint="eastAsia" w:eastAsia="方正仿宋_GBK"/>
          <w:sz w:val="32"/>
          <w:szCs w:val="32"/>
        </w:rPr>
        <w:t>初始学历为临床医学类毕业专业，后学历获得境外临床专业类哲学博（硕）士学位，且所学课程与临床工作相关，其博（硕）士学位可作为申报卫生高级专业资格的学历依据。</w:t>
      </w:r>
    </w:p>
    <w:p>
      <w:pPr>
        <w:spacing w:line="580" w:lineRule="exact"/>
        <w:ind w:firstLine="640" w:firstLineChars="200"/>
        <w:rPr>
          <w:rFonts w:eastAsia="方正仿宋_GBK"/>
          <w:sz w:val="32"/>
          <w:szCs w:val="32"/>
        </w:rPr>
      </w:pPr>
      <w:r>
        <w:rPr>
          <w:rFonts w:hint="eastAsia" w:eastAsia="方正仿宋_GBK"/>
          <w:sz w:val="32"/>
          <w:szCs w:val="32"/>
        </w:rPr>
        <w:t>初始学历为临床医学检验学、临床医学等专业，后学历为基础医学类、临床医学检验技术等专业的，可作为晋升临床医学检验类专业的学历依据。</w:t>
      </w:r>
    </w:p>
    <w:p>
      <w:pPr>
        <w:spacing w:line="580" w:lineRule="exact"/>
        <w:ind w:firstLine="640" w:firstLineChars="200"/>
        <w:rPr>
          <w:rFonts w:eastAsia="方正仿宋_GBK"/>
          <w:sz w:val="32"/>
          <w:szCs w:val="32"/>
        </w:rPr>
      </w:pPr>
      <w:r>
        <w:rPr>
          <w:rFonts w:hint="eastAsia" w:eastAsia="方正仿宋_GBK"/>
          <w:sz w:val="32"/>
          <w:szCs w:val="32"/>
        </w:rPr>
        <w:t>申报药学（中药学）类的专业，应提供药学（中药学）类专业学历（以国家教育部公布的专业目录为准）。</w:t>
      </w:r>
    </w:p>
    <w:p>
      <w:pPr>
        <w:spacing w:line="580" w:lineRule="exact"/>
        <w:ind w:firstLine="640" w:firstLineChars="200"/>
        <w:rPr>
          <w:rFonts w:eastAsia="方正仿宋_GBK"/>
          <w:sz w:val="32"/>
          <w:szCs w:val="32"/>
        </w:rPr>
      </w:pPr>
      <w:r>
        <w:rPr>
          <w:rFonts w:hint="eastAsia" w:eastAsia="方正仿宋_GBK"/>
          <w:sz w:val="32"/>
          <w:szCs w:val="32"/>
        </w:rPr>
        <w:t>申报有护士执业资格要求的专业，应提交护理或助产专业学历证书。对2008年5月12日《中华人民共和国护士条例》施行之前入学，参加非全日制学历教育取得临床医学类毕业专业的学历可作为申报护理高级资格的依据。</w:t>
      </w:r>
    </w:p>
    <w:p>
      <w:pPr>
        <w:spacing w:line="580" w:lineRule="exact"/>
        <w:ind w:firstLine="640" w:firstLineChars="200"/>
        <w:rPr>
          <w:rFonts w:eastAsia="方正仿宋_GBK"/>
          <w:sz w:val="32"/>
          <w:szCs w:val="32"/>
        </w:rPr>
      </w:pPr>
      <w:r>
        <w:rPr>
          <w:rFonts w:hint="eastAsia" w:eastAsia="方正仿宋_GBK"/>
          <w:sz w:val="32"/>
          <w:szCs w:val="32"/>
        </w:rPr>
        <w:t>申报医技类的专业</w:t>
      </w:r>
      <w:r>
        <w:rPr>
          <w:rFonts w:hint="eastAsia" w:eastAsia="方正仿宋_GBK"/>
          <w:sz w:val="32"/>
          <w:szCs w:val="32"/>
          <w:lang w:val="en-US" w:eastAsia="zh-CN"/>
        </w:rPr>
        <w:t>，</w:t>
      </w:r>
      <w:r>
        <w:rPr>
          <w:rFonts w:hint="eastAsia" w:eastAsia="方正仿宋_GBK"/>
          <w:sz w:val="32"/>
          <w:szCs w:val="32"/>
        </w:rPr>
        <w:t>应提供医技类或医学类专业</w:t>
      </w:r>
      <w:r>
        <w:rPr>
          <w:rFonts w:hint="eastAsia" w:eastAsia="方正仿宋_GBK"/>
          <w:sz w:val="32"/>
          <w:szCs w:val="32"/>
          <w:lang w:val="en-US" w:eastAsia="zh-CN"/>
        </w:rPr>
        <w:t>学历</w:t>
      </w:r>
      <w:r>
        <w:rPr>
          <w:rFonts w:hint="eastAsia" w:eastAsia="方正仿宋_GBK"/>
          <w:sz w:val="32"/>
          <w:szCs w:val="32"/>
        </w:rPr>
        <w:t>。</w:t>
      </w:r>
    </w:p>
    <w:p>
      <w:pPr>
        <w:spacing w:line="580" w:lineRule="exact"/>
        <w:ind w:firstLine="640" w:firstLineChars="200"/>
        <w:rPr>
          <w:rFonts w:eastAsia="方正仿宋_GBK"/>
          <w:sz w:val="32"/>
          <w:szCs w:val="32"/>
        </w:rPr>
      </w:pPr>
      <w:r>
        <w:rPr>
          <w:rFonts w:hint="eastAsia" w:eastAsia="方正仿宋_GBK"/>
          <w:sz w:val="32"/>
          <w:szCs w:val="32"/>
        </w:rPr>
        <w:t>申报卫生管理专业</w:t>
      </w:r>
      <w:r>
        <w:rPr>
          <w:rFonts w:hint="eastAsia" w:eastAsia="方正仿宋_GBK"/>
          <w:sz w:val="32"/>
          <w:szCs w:val="32"/>
          <w:lang w:eastAsia="zh-CN"/>
        </w:rPr>
        <w:t>，</w:t>
      </w:r>
      <w:r>
        <w:rPr>
          <w:rFonts w:hint="eastAsia" w:eastAsia="方正仿宋_GBK"/>
          <w:sz w:val="32"/>
          <w:szCs w:val="32"/>
        </w:rPr>
        <w:t>应提供公共管理类或卫生类专业学历。</w:t>
      </w:r>
    </w:p>
    <w:p>
      <w:pPr>
        <w:numPr>
          <w:ilvl w:val="0"/>
          <w:numId w:val="1"/>
        </w:numPr>
        <w:spacing w:line="580" w:lineRule="exact"/>
        <w:ind w:firstLine="640" w:firstLineChars="200"/>
        <w:rPr>
          <w:rFonts w:eastAsia="方正仿宋_GBK"/>
          <w:sz w:val="32"/>
          <w:szCs w:val="32"/>
        </w:rPr>
      </w:pPr>
      <w:r>
        <w:rPr>
          <w:rFonts w:hint="eastAsia" w:eastAsia="方正仿宋_GBK"/>
          <w:sz w:val="32"/>
          <w:szCs w:val="32"/>
        </w:rPr>
        <w:t>执业资格：申报有</w:t>
      </w:r>
      <w:bookmarkStart w:id="0" w:name="_GoBack"/>
      <w:bookmarkEnd w:id="0"/>
      <w:r>
        <w:rPr>
          <w:rFonts w:hint="eastAsia" w:eastAsia="方正仿宋_GBK"/>
          <w:sz w:val="32"/>
          <w:szCs w:val="32"/>
        </w:rPr>
        <w:t>执业资格要求的专业，须提交相应类别的医师执业证书或护士执业证书。申报全科医学、全科医学（中医类）专业的，医师执业注册范围须包含全科医学；申报中西医结合相关专业的，原则上医师执业注册范围应为中西医结合，若已取得中西医结合专业技术资格或省级以上“西学中”结业证书的也可申报评审。</w:t>
      </w:r>
    </w:p>
    <w:p>
      <w:pPr>
        <w:spacing w:line="580" w:lineRule="exact"/>
        <w:ind w:firstLine="640" w:firstLineChars="200"/>
        <w:rPr>
          <w:rFonts w:eastAsia="方正仿宋_GBK"/>
          <w:sz w:val="32"/>
          <w:szCs w:val="32"/>
        </w:rPr>
      </w:pPr>
      <w:r>
        <w:rPr>
          <w:rFonts w:hint="eastAsia" w:eastAsia="方正仿宋_GBK"/>
          <w:sz w:val="32"/>
          <w:szCs w:val="32"/>
        </w:rPr>
        <w:t>4．专业工作年限：一般由参加本专业工作起计算至申报前一年年底，工作间断年限须相应扣除。</w:t>
      </w:r>
    </w:p>
    <w:p>
      <w:pPr>
        <w:spacing w:line="580" w:lineRule="exact"/>
        <w:ind w:firstLine="640" w:firstLineChars="200"/>
        <w:rPr>
          <w:rFonts w:eastAsia="方正仿宋_GBK"/>
          <w:sz w:val="32"/>
          <w:szCs w:val="32"/>
        </w:rPr>
      </w:pPr>
      <w:r>
        <w:rPr>
          <w:rFonts w:hint="eastAsia" w:eastAsia="方正仿宋_GBK"/>
          <w:sz w:val="32"/>
          <w:szCs w:val="32"/>
        </w:rPr>
        <w:t>5．任职资历计算：从现专业技术资格聘任之日起计算至申报前一年年底。脱产学习期间，单位未聘任的减除相应年限。</w:t>
      </w:r>
    </w:p>
    <w:p>
      <w:pPr>
        <w:spacing w:line="580" w:lineRule="exact"/>
        <w:ind w:firstLine="640" w:firstLineChars="200"/>
        <w:rPr>
          <w:rFonts w:eastAsia="方正仿宋_GBK"/>
          <w:sz w:val="32"/>
          <w:szCs w:val="32"/>
        </w:rPr>
      </w:pPr>
      <w:r>
        <w:rPr>
          <w:rFonts w:hint="eastAsia" w:eastAsia="方正仿宋_GBK"/>
          <w:sz w:val="32"/>
          <w:szCs w:val="32"/>
        </w:rPr>
        <w:t>6．申报职称的业绩成果、论文、学历（学位）等截止时间按当年的申报文件规定执行。</w:t>
      </w:r>
    </w:p>
    <w:p>
      <w:pPr>
        <w:spacing w:line="580" w:lineRule="exact"/>
        <w:ind w:firstLine="640" w:firstLineChars="200"/>
        <w:rPr>
          <w:rFonts w:eastAsia="方正仿宋_GBK"/>
          <w:sz w:val="32"/>
          <w:szCs w:val="32"/>
        </w:rPr>
      </w:pPr>
      <w:r>
        <w:rPr>
          <w:rFonts w:eastAsia="方正仿宋_GBK"/>
          <w:sz w:val="32"/>
          <w:szCs w:val="32"/>
        </w:rPr>
        <w:t>7．专业技术工作经历（能力）：</w:t>
      </w:r>
    </w:p>
    <w:p>
      <w:pPr>
        <w:spacing w:line="580" w:lineRule="exact"/>
        <w:ind w:firstLine="640" w:firstLineChars="200"/>
        <w:rPr>
          <w:rFonts w:eastAsia="方正仿宋_GBK"/>
          <w:sz w:val="32"/>
          <w:szCs w:val="32"/>
        </w:rPr>
      </w:pPr>
      <w:r>
        <w:rPr>
          <w:rFonts w:eastAsia="方正仿宋_GBK"/>
          <w:sz w:val="32"/>
          <w:szCs w:val="32"/>
        </w:rPr>
        <w:t>申报人员提供《任现职以来完成本专业技术工作情况表》，并按要求提交相关证明材料。</w:t>
      </w:r>
    </w:p>
    <w:p>
      <w:pPr>
        <w:spacing w:line="580" w:lineRule="exact"/>
        <w:ind w:firstLine="640" w:firstLineChars="200"/>
        <w:rPr>
          <w:rFonts w:eastAsia="方正仿宋_GBK"/>
          <w:sz w:val="32"/>
          <w:szCs w:val="32"/>
        </w:rPr>
      </w:pPr>
      <w:r>
        <w:rPr>
          <w:rFonts w:eastAsia="方正仿宋_GBK"/>
          <w:sz w:val="32"/>
          <w:szCs w:val="32"/>
        </w:rPr>
        <w:t>设病床的临床</w:t>
      </w:r>
      <w:r>
        <w:rPr>
          <w:rFonts w:hint="eastAsia" w:eastAsia="方正仿宋_GBK"/>
          <w:sz w:val="32"/>
          <w:szCs w:val="32"/>
        </w:rPr>
        <w:t>、</w:t>
      </w:r>
      <w:r>
        <w:rPr>
          <w:rFonts w:eastAsia="方正仿宋_GBK"/>
          <w:sz w:val="32"/>
          <w:szCs w:val="32"/>
        </w:rPr>
        <w:t>中医</w:t>
      </w:r>
      <w:r>
        <w:rPr>
          <w:rFonts w:hint="eastAsia" w:eastAsia="方正仿宋_GBK"/>
          <w:sz w:val="32"/>
          <w:szCs w:val="32"/>
        </w:rPr>
        <w:t>、</w:t>
      </w:r>
      <w:r>
        <w:rPr>
          <w:rFonts w:eastAsia="方正仿宋_GBK"/>
          <w:sz w:val="32"/>
          <w:szCs w:val="32"/>
        </w:rPr>
        <w:t>口腔类专业申报人员，提交的任现职以来本人主持、主治的</w:t>
      </w:r>
      <w:r>
        <w:rPr>
          <w:rFonts w:hint="eastAsia" w:eastAsia="方正仿宋_GBK"/>
          <w:sz w:val="32"/>
          <w:szCs w:val="32"/>
        </w:rPr>
        <w:t>5</w:t>
      </w:r>
      <w:r>
        <w:rPr>
          <w:rFonts w:eastAsia="方正仿宋_GBK"/>
          <w:sz w:val="32"/>
          <w:szCs w:val="32"/>
        </w:rPr>
        <w:t>份病案不得与代表作品中本人较高水平病案重复。</w:t>
      </w:r>
    </w:p>
    <w:p>
      <w:pPr>
        <w:spacing w:line="580" w:lineRule="exact"/>
        <w:ind w:firstLine="640" w:firstLineChars="200"/>
        <w:rPr>
          <w:rFonts w:eastAsia="方正仿宋_GBK"/>
          <w:sz w:val="32"/>
          <w:szCs w:val="32"/>
        </w:rPr>
      </w:pPr>
      <w:r>
        <w:rPr>
          <w:rFonts w:eastAsia="方正仿宋_GBK"/>
          <w:sz w:val="32"/>
          <w:szCs w:val="32"/>
        </w:rPr>
        <w:t>申报护理类人员</w:t>
      </w:r>
      <w:r>
        <w:rPr>
          <w:rFonts w:hint="eastAsia" w:eastAsia="方正仿宋_GBK"/>
          <w:sz w:val="32"/>
          <w:szCs w:val="32"/>
        </w:rPr>
        <w:t>应</w:t>
      </w:r>
      <w:r>
        <w:rPr>
          <w:rFonts w:eastAsia="方正仿宋_GBK"/>
          <w:sz w:val="32"/>
          <w:szCs w:val="32"/>
        </w:rPr>
        <w:t>提交《任现职以来临床护理人员完成本专业技术工作情况表》，并按临床工作能力、护理教学能力、学术地位提交相关附件材料，且不与代表作品中提供的材料重复。</w:t>
      </w:r>
    </w:p>
    <w:p>
      <w:pPr>
        <w:spacing w:line="580" w:lineRule="exact"/>
        <w:ind w:firstLine="640" w:firstLineChars="200"/>
        <w:rPr>
          <w:rFonts w:eastAsia="方正仿宋_GBK"/>
          <w:sz w:val="32"/>
          <w:szCs w:val="32"/>
        </w:rPr>
      </w:pPr>
      <w:r>
        <w:rPr>
          <w:rFonts w:hint="eastAsia" w:eastAsia="方正仿宋_GBK"/>
          <w:sz w:val="32"/>
          <w:szCs w:val="32"/>
        </w:rPr>
        <w:t>8．工作业绩或成果</w:t>
      </w:r>
    </w:p>
    <w:p>
      <w:pPr>
        <w:spacing w:line="580" w:lineRule="exact"/>
        <w:ind w:firstLine="640" w:firstLineChars="200"/>
        <w:rPr>
          <w:rFonts w:eastAsia="方正仿宋_GBK"/>
          <w:sz w:val="32"/>
          <w:szCs w:val="32"/>
        </w:rPr>
      </w:pPr>
      <w:r>
        <w:rPr>
          <w:rFonts w:hint="eastAsia" w:eastAsia="方正仿宋_GBK"/>
          <w:sz w:val="32"/>
          <w:szCs w:val="32"/>
        </w:rPr>
        <w:t>论文：申报临床、中医、口腔、护理类专业的，提交的论文应是临床诊疗、临床护理的专业论文，实验及基础性研究论文不作为送审作品。论文的清样稿、录用通知、录用证明不能作为送审依据。论文须为排名第一位的第一作者或通讯作者。</w:t>
      </w:r>
    </w:p>
    <w:p>
      <w:pPr>
        <w:spacing w:line="580" w:lineRule="exact"/>
        <w:rPr>
          <w:rFonts w:eastAsia="方正仿宋_GBK"/>
          <w:sz w:val="32"/>
          <w:szCs w:val="32"/>
        </w:rPr>
      </w:pPr>
      <w:r>
        <w:rPr>
          <w:rFonts w:hint="eastAsia" w:eastAsia="方正仿宋_GBK"/>
          <w:sz w:val="32"/>
          <w:szCs w:val="32"/>
        </w:rPr>
        <w:t xml:space="preserve">   科研课题：应包括申报书、立项及结题材料。未结题的科研课题不作为业绩成果。市级及以上临床试验项目视同科研课题，其中申报正高须为前3完成人，申报副高须为前5完成人。</w:t>
      </w:r>
    </w:p>
    <w:p>
      <w:pPr>
        <w:spacing w:line="580" w:lineRule="exact"/>
        <w:ind w:firstLine="640" w:firstLineChars="200"/>
        <w:rPr>
          <w:rFonts w:eastAsia="方正仿宋_GBK"/>
          <w:sz w:val="32"/>
          <w:szCs w:val="32"/>
        </w:rPr>
      </w:pPr>
      <w:r>
        <w:rPr>
          <w:rFonts w:hint="eastAsia" w:eastAsia="方正仿宋_GBK"/>
          <w:sz w:val="32"/>
          <w:szCs w:val="32"/>
        </w:rPr>
        <w:t>发明专利：应包括发明专利请求书、说明书、说明书附图及专利证书。</w:t>
      </w:r>
    </w:p>
    <w:p>
      <w:pPr>
        <w:spacing w:line="580" w:lineRule="exact"/>
        <w:ind w:firstLine="640" w:firstLineChars="200"/>
        <w:rPr>
          <w:rFonts w:eastAsia="方正仿宋_GBK"/>
          <w:sz w:val="32"/>
          <w:szCs w:val="32"/>
        </w:rPr>
      </w:pPr>
      <w:r>
        <w:rPr>
          <w:rFonts w:hint="eastAsia" w:eastAsia="方正仿宋_GBK"/>
          <w:sz w:val="32"/>
          <w:szCs w:val="32"/>
        </w:rPr>
        <w:t>专题报告：应附5份与报告内容相关的佐证材料，如操作或特殊诊疗记录单、报告单、原始数据报表等。其中放射医学（医学影像）专业提交影像诊断报告单；超声医学专业提交超声图文报告；麻醉专业提交麻醉术前计划书及相对应的麻醉记录单；药学类专业提交药学服务（如药物用量监测和合理用药评估、用药规范、药品ADR监测分析，院内外用药会诊或疑难病历讨论等）等有关材料。</w:t>
      </w:r>
    </w:p>
    <w:p>
      <w:pPr>
        <w:spacing w:line="580" w:lineRule="exact"/>
        <w:ind w:firstLine="640" w:firstLineChars="200"/>
        <w:rPr>
          <w:rFonts w:eastAsia="方正仿宋_GBK"/>
          <w:sz w:val="32"/>
          <w:szCs w:val="32"/>
        </w:rPr>
      </w:pPr>
      <w:r>
        <w:rPr>
          <w:rFonts w:eastAsia="方正仿宋_GBK"/>
          <w:sz w:val="32"/>
          <w:szCs w:val="32"/>
        </w:rPr>
        <w:t>国家标准、行业标准、地方标准</w:t>
      </w:r>
      <w:r>
        <w:rPr>
          <w:rFonts w:hint="eastAsia" w:eastAsia="方正仿宋_GBK"/>
          <w:sz w:val="32"/>
          <w:szCs w:val="32"/>
        </w:rPr>
        <w:t>：按照《中华人民共和国标准化法》有关规定执行。</w:t>
      </w:r>
    </w:p>
    <w:p>
      <w:pPr>
        <w:spacing w:line="580" w:lineRule="exact"/>
        <w:ind w:firstLine="640" w:firstLineChars="200"/>
        <w:rPr>
          <w:rFonts w:eastAsia="方正仿宋_GBK"/>
          <w:sz w:val="32"/>
          <w:szCs w:val="32"/>
        </w:rPr>
      </w:pPr>
      <w:r>
        <w:rPr>
          <w:rFonts w:hint="eastAsia" w:eastAsia="方正仿宋_GBK"/>
          <w:sz w:val="32"/>
          <w:szCs w:val="32"/>
        </w:rPr>
        <w:t>技术规范：正式颁布的对本专业有一定指导意义的规范、指南等。</w:t>
      </w:r>
    </w:p>
    <w:p>
      <w:pPr>
        <w:spacing w:line="580" w:lineRule="exact"/>
        <w:ind w:firstLine="640" w:firstLineChars="200"/>
        <w:rPr>
          <w:rFonts w:eastAsia="方正仿宋_GBK"/>
          <w:sz w:val="32"/>
          <w:szCs w:val="32"/>
        </w:rPr>
      </w:pPr>
      <w:r>
        <w:rPr>
          <w:rFonts w:hint="eastAsia" w:eastAsia="方正仿宋_GBK"/>
          <w:sz w:val="32"/>
          <w:szCs w:val="32"/>
        </w:rPr>
        <w:t>9．海外高层次人才、留学归国人员、机关流动人员、在站博士后等不具备本专业技术资格条件规定的学历、资历、层级要求的人员，应按照《省高层次和急需紧缺人才高级职称考核认定办法（试行）》有关规定参加省人社厅统一组织的高层次和急需紧缺人才高级职称考核认定。</w:t>
      </w:r>
    </w:p>
    <w:p>
      <w:pPr>
        <w:spacing w:line="580" w:lineRule="exact"/>
        <w:ind w:firstLine="640" w:firstLineChars="200"/>
        <w:rPr>
          <w:rFonts w:eastAsia="方正仿宋_GBK"/>
          <w:sz w:val="32"/>
          <w:szCs w:val="32"/>
        </w:rPr>
      </w:pPr>
      <w:r>
        <w:rPr>
          <w:rFonts w:hint="eastAsia" w:eastAsia="方正仿宋_GBK"/>
          <w:sz w:val="32"/>
          <w:szCs w:val="32"/>
        </w:rPr>
        <w:t>10．省外调入人员：调入我省仍从事本专业技术工作的人员，其按国家有关规定取得的卫生高级资格及专业工作年限予以认可。2001年6月12日以后，取得省外颁发的地方卫生中级资格证书人员需通过国家相应的卫生专业技术资格考试，任职年限可合并计算。</w:t>
      </w:r>
    </w:p>
    <w:p>
      <w:pPr>
        <w:spacing w:line="580" w:lineRule="exact"/>
        <w:ind w:firstLine="640" w:firstLineChars="200"/>
        <w:rPr>
          <w:rFonts w:eastAsia="方正仿宋_GBK"/>
          <w:sz w:val="32"/>
          <w:szCs w:val="32"/>
        </w:rPr>
      </w:pPr>
      <w:r>
        <w:rPr>
          <w:rFonts w:hint="eastAsia" w:eastAsia="方正仿宋_GBK"/>
          <w:sz w:val="32"/>
          <w:szCs w:val="32"/>
        </w:rPr>
        <w:t>11．平转人员：卫生专业技术工作岗位变动人员（指在医、药、护、技、卫管5类岗位之间变动），须转岗满1年后方可申报评审现岗位同级别资格，取得资格并聘任满1年后，方可申报评审现岗位高一级别专业技术资格。对于具有多个低一级资格的申报人员，如果其与申报专业类别一致的低一级资格已聘任满1年，可以正常申报。非卫生系列职称平转卫生系列初、中级职称的参照执行。</w:t>
      </w:r>
    </w:p>
    <w:p>
      <w:pPr>
        <w:spacing w:line="580" w:lineRule="exact"/>
        <w:ind w:firstLine="640" w:firstLineChars="200"/>
        <w:rPr>
          <w:rFonts w:eastAsia="方正仿宋_GBK"/>
          <w:sz w:val="32"/>
          <w:szCs w:val="32"/>
        </w:rPr>
      </w:pPr>
      <w:r>
        <w:rPr>
          <w:rFonts w:hint="eastAsia" w:eastAsia="方正仿宋_GBK"/>
          <w:sz w:val="32"/>
          <w:szCs w:val="32"/>
        </w:rPr>
        <w:t>非卫生系列职称平转卫生系列高级职称的，须具有低一级卫生资格，且卫生资格须聘任满3年；平转到卫生系列后，须聘任卫生资格满3年方可晋升卫生高一级资格。</w:t>
      </w:r>
    </w:p>
    <w:p>
      <w:pPr>
        <w:spacing w:line="580" w:lineRule="exact"/>
        <w:ind w:firstLine="640" w:firstLineChars="200"/>
        <w:rPr>
          <w:rFonts w:eastAsia="方正仿宋_GBK"/>
          <w:sz w:val="32"/>
          <w:szCs w:val="32"/>
        </w:rPr>
      </w:pPr>
      <w:r>
        <w:rPr>
          <w:rFonts w:hint="eastAsia" w:eastAsia="方正仿宋_GBK"/>
          <w:sz w:val="32"/>
          <w:szCs w:val="32"/>
        </w:rPr>
        <w:t>12．社区副主任医（药、护、技）师须先按照平转要求取得副主任医（药、护、技）师资格并聘任满1年后，方可晋升主任医（药、护、技）师资格。</w:t>
      </w:r>
    </w:p>
    <w:p>
      <w:pPr>
        <w:spacing w:line="580" w:lineRule="exact"/>
        <w:ind w:firstLine="640" w:firstLineChars="200"/>
        <w:rPr>
          <w:rFonts w:eastAsia="方正仿宋_GBK"/>
          <w:sz w:val="32"/>
          <w:szCs w:val="32"/>
        </w:rPr>
      </w:pPr>
      <w:r>
        <w:rPr>
          <w:rFonts w:hint="eastAsia" w:eastAsia="方正仿宋_GBK"/>
          <w:sz w:val="32"/>
          <w:szCs w:val="32"/>
        </w:rPr>
        <w:t>13．本条件中规定的学历、年限、数量（目）、等级以上的概念均含本标识学历、年限、数量（目）、等级。</w:t>
      </w:r>
    </w:p>
    <w:p>
      <w:pPr>
        <w:spacing w:line="580" w:lineRule="exact"/>
        <w:ind w:firstLine="640" w:firstLineChars="200"/>
        <w:rPr>
          <w:rFonts w:eastAsia="方正仿宋_GBK"/>
          <w:sz w:val="32"/>
          <w:szCs w:val="32"/>
        </w:rPr>
      </w:pPr>
      <w:r>
        <w:rPr>
          <w:rFonts w:hint="eastAsia" w:eastAsia="方正仿宋_GBK"/>
          <w:sz w:val="32"/>
          <w:szCs w:val="32"/>
        </w:rPr>
        <w:t>14．本条件所提“市”指设区市，不含县级市。</w:t>
      </w:r>
    </w:p>
    <w:p>
      <w:pPr>
        <w:spacing w:line="580" w:lineRule="exact"/>
        <w:ind w:firstLine="640" w:firstLineChars="200"/>
        <w:rPr>
          <w:rFonts w:eastAsia="方正仿宋_GBK"/>
          <w:sz w:val="32"/>
          <w:szCs w:val="32"/>
        </w:rPr>
      </w:pPr>
      <w:r>
        <w:rPr>
          <w:rFonts w:hint="eastAsia" w:eastAsia="方正仿宋_GBK"/>
          <w:sz w:val="32"/>
          <w:szCs w:val="32"/>
        </w:rPr>
        <w:t>15．本条件所指水平，一般通过考试、答辩及高评委专家评审认定。</w:t>
      </w:r>
    </w:p>
    <w:p>
      <w:pPr>
        <w:spacing w:line="580" w:lineRule="exact"/>
        <w:ind w:firstLine="640" w:firstLineChars="200"/>
        <w:rPr>
          <w:rFonts w:eastAsia="方正仿宋_GBK"/>
          <w:sz w:val="32"/>
          <w:szCs w:val="32"/>
        </w:rPr>
      </w:pPr>
    </w:p>
    <w:p>
      <w:pPr>
        <w:spacing w:line="580" w:lineRule="exact"/>
        <w:ind w:firstLine="640" w:firstLineChars="200"/>
        <w:rPr>
          <w:rFonts w:eastAsia="方正仿宋_GBK"/>
          <w:sz w:val="32"/>
          <w:szCs w:val="32"/>
        </w:rPr>
      </w:pPr>
    </w:p>
    <w:p>
      <w:pPr>
        <w:spacing w:line="580" w:lineRule="exact"/>
        <w:ind w:firstLine="640" w:firstLineChars="200"/>
        <w:rPr>
          <w:rFonts w:eastAsia="方正仿宋_GBK"/>
          <w:sz w:val="32"/>
          <w:szCs w:val="32"/>
        </w:rPr>
      </w:pPr>
    </w:p>
    <w:p>
      <w:pPr>
        <w:spacing w:line="580" w:lineRule="exact"/>
        <w:ind w:firstLine="640" w:firstLineChars="200"/>
        <w:rPr>
          <w:rFonts w:eastAsia="方正仿宋_GBK"/>
          <w:sz w:val="32"/>
          <w:szCs w:val="32"/>
        </w:rPr>
      </w:pPr>
    </w:p>
    <w:p>
      <w:pPr>
        <w:spacing w:line="580" w:lineRule="exact"/>
        <w:ind w:firstLine="640" w:firstLineChars="200"/>
        <w:rPr>
          <w:rFonts w:eastAsia="方正仿宋_GBK"/>
          <w:sz w:val="32"/>
          <w:szCs w:val="32"/>
        </w:rPr>
      </w:pPr>
    </w:p>
    <w:p>
      <w:pPr>
        <w:widowControl/>
        <w:jc w:val="left"/>
        <w:rPr>
          <w:rFonts w:eastAsia="方正仿宋_GBK"/>
          <w:sz w:val="32"/>
          <w:szCs w:val="32"/>
        </w:rPr>
      </w:pPr>
      <w:r>
        <w:rPr>
          <w:rFonts w:eastAsia="方正仿宋_GBK"/>
          <w:sz w:val="32"/>
          <w:szCs w:val="32"/>
        </w:rPr>
        <w:br w:type="page"/>
      </w:r>
    </w:p>
    <w:p>
      <w:pPr>
        <w:spacing w:line="580" w:lineRule="exact"/>
        <w:ind w:firstLine="640" w:firstLineChars="200"/>
        <w:jc w:val="left"/>
        <w:rPr>
          <w:rFonts w:eastAsia="方正仿宋_GBK"/>
          <w:sz w:val="32"/>
          <w:szCs w:val="32"/>
        </w:rPr>
        <w:sectPr>
          <w:pgSz w:w="11907" w:h="16840"/>
          <w:pgMar w:top="1701" w:right="1701" w:bottom="1701" w:left="1701" w:header="851" w:footer="992" w:gutter="0"/>
          <w:pgNumType w:fmt="numberInDash"/>
          <w:cols w:space="0" w:num="1"/>
          <w:docGrid w:type="lines" w:linePitch="315" w:charSpace="0"/>
        </w:sectPr>
      </w:pPr>
    </w:p>
    <w:p>
      <w:pPr>
        <w:spacing w:line="580" w:lineRule="exact"/>
        <w:ind w:firstLine="640" w:firstLineChars="200"/>
        <w:jc w:val="left"/>
        <w:rPr>
          <w:rFonts w:eastAsia="方正仿宋_GBK"/>
          <w:sz w:val="32"/>
          <w:szCs w:val="32"/>
        </w:rPr>
      </w:pPr>
      <w:r>
        <w:rPr>
          <w:rFonts w:eastAsia="方正仿宋_GBK"/>
          <w:sz w:val="32"/>
          <w:szCs w:val="32"/>
        </w:rPr>
        <w:t>附表</w:t>
      </w:r>
      <w:r>
        <w:rPr>
          <w:rFonts w:hint="eastAsia" w:eastAsia="方正仿宋_GBK"/>
          <w:sz w:val="32"/>
          <w:szCs w:val="32"/>
        </w:rPr>
        <w:t>1：医师晋升高级职称工作量要求</w:t>
      </w:r>
    </w:p>
    <w:tbl>
      <w:tblPr>
        <w:tblStyle w:val="10"/>
        <w:tblW w:w="15118" w:type="dxa"/>
        <w:jc w:val="center"/>
        <w:tblLayout w:type="fixed"/>
        <w:tblCellMar>
          <w:top w:w="15" w:type="dxa"/>
          <w:left w:w="15" w:type="dxa"/>
          <w:bottom w:w="15" w:type="dxa"/>
          <w:right w:w="15" w:type="dxa"/>
        </w:tblCellMar>
      </w:tblPr>
      <w:tblGrid>
        <w:gridCol w:w="750"/>
        <w:gridCol w:w="1038"/>
        <w:gridCol w:w="2626"/>
        <w:gridCol w:w="975"/>
        <w:gridCol w:w="1920"/>
        <w:gridCol w:w="1726"/>
        <w:gridCol w:w="6083"/>
      </w:tblGrid>
      <w:tr>
        <w:tblPrEx>
          <w:tblCellMar>
            <w:top w:w="15" w:type="dxa"/>
            <w:left w:w="15" w:type="dxa"/>
            <w:bottom w:w="15" w:type="dxa"/>
            <w:right w:w="15" w:type="dxa"/>
          </w:tblCellMar>
        </w:tblPrEx>
        <w:trPr>
          <w:trHeight w:val="587" w:hRule="atLeast"/>
          <w:jc w:val="center"/>
        </w:trPr>
        <w:tc>
          <w:tcPr>
            <w:tcW w:w="15118" w:type="dxa"/>
            <w:gridSpan w:val="7"/>
            <w:vAlign w:val="center"/>
          </w:tcPr>
          <w:p>
            <w:pPr>
              <w:widowControl/>
              <w:jc w:val="center"/>
              <w:textAlignment w:val="center"/>
              <w:rPr>
                <w:rFonts w:ascii="LinTimes" w:hAnsi="LinTimes" w:cs="LinTimes"/>
                <w:b/>
                <w:kern w:val="0"/>
                <w:sz w:val="40"/>
                <w:szCs w:val="40"/>
                <w:lang w:bidi="ar"/>
              </w:rPr>
            </w:pPr>
            <w:r>
              <w:rPr>
                <w:rFonts w:ascii="LinTimes" w:hAnsi="LinTimes" w:cs="LinTimes"/>
                <w:b/>
                <w:kern w:val="0"/>
                <w:sz w:val="36"/>
                <w:szCs w:val="36"/>
                <w:lang w:bidi="ar"/>
              </w:rPr>
              <w:t>医师晋升</w:t>
            </w:r>
            <w:r>
              <w:rPr>
                <w:rFonts w:hint="eastAsia" w:ascii="宋体" w:hAnsi="宋体" w:cs="宋体"/>
                <w:b/>
                <w:bCs/>
                <w:kern w:val="0"/>
                <w:sz w:val="36"/>
                <w:szCs w:val="36"/>
              </w:rPr>
              <w:t>高级职称</w:t>
            </w:r>
            <w:r>
              <w:rPr>
                <w:rFonts w:ascii="LinTimes" w:hAnsi="LinTimes" w:cs="LinTimes"/>
                <w:b/>
                <w:kern w:val="0"/>
                <w:sz w:val="36"/>
                <w:szCs w:val="36"/>
                <w:lang w:bidi="ar"/>
              </w:rPr>
              <w:t>工作量要求</w:t>
            </w:r>
          </w:p>
        </w:tc>
      </w:tr>
      <w:tr>
        <w:tblPrEx>
          <w:tblCellMar>
            <w:top w:w="15" w:type="dxa"/>
            <w:left w:w="15" w:type="dxa"/>
            <w:bottom w:w="15" w:type="dxa"/>
            <w:right w:w="15" w:type="dxa"/>
          </w:tblCellMar>
        </w:tblPrEx>
        <w:trPr>
          <w:trHeight w:val="850" w:hRule="exac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rPr>
                <w:rFonts w:ascii="LinTimes" w:hAnsi="LinTimes" w:eastAsia="黑体" w:cs="LinTimes"/>
                <w:sz w:val="28"/>
                <w:szCs w:val="2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黑体" w:cs="LinTimes"/>
                <w:kern w:val="0"/>
                <w:sz w:val="28"/>
                <w:szCs w:val="28"/>
                <w:lang w:bidi="ar"/>
              </w:rPr>
            </w:pPr>
            <w:r>
              <w:rPr>
                <w:rFonts w:ascii="LinTimes" w:hAnsi="LinTimes" w:eastAsia="黑体" w:cs="LinTimes"/>
                <w:kern w:val="0"/>
                <w:sz w:val="28"/>
                <w:szCs w:val="28"/>
                <w:lang w:bidi="ar"/>
              </w:rPr>
              <w:t>专业</w:t>
            </w:r>
          </w:p>
          <w:p>
            <w:pPr>
              <w:widowControl/>
              <w:spacing w:line="400" w:lineRule="exact"/>
              <w:jc w:val="center"/>
              <w:textAlignment w:val="center"/>
              <w:rPr>
                <w:rFonts w:ascii="LinTimes" w:hAnsi="LinTimes" w:eastAsia="黑体" w:cs="LinTimes"/>
                <w:sz w:val="28"/>
                <w:szCs w:val="28"/>
              </w:rPr>
            </w:pPr>
            <w:r>
              <w:rPr>
                <w:rFonts w:ascii="LinTimes" w:hAnsi="LinTimes" w:eastAsia="黑体" w:cs="LinTimes"/>
                <w:kern w:val="0"/>
                <w:sz w:val="28"/>
                <w:szCs w:val="28"/>
                <w:lang w:bidi="ar"/>
              </w:rPr>
              <w:t>类别</w:t>
            </w: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黑体" w:cs="LinTimes"/>
                <w:sz w:val="28"/>
                <w:szCs w:val="28"/>
              </w:rPr>
            </w:pPr>
            <w:r>
              <w:rPr>
                <w:rFonts w:ascii="LinTimes" w:hAnsi="LinTimes" w:eastAsia="黑体" w:cs="LinTimes"/>
                <w:kern w:val="0"/>
                <w:sz w:val="28"/>
                <w:szCs w:val="28"/>
                <w:lang w:bidi="ar"/>
              </w:rPr>
              <w:t>评价项目</w:t>
            </w: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黑体" w:cs="LinTimes"/>
                <w:sz w:val="28"/>
                <w:szCs w:val="28"/>
              </w:rPr>
            </w:pPr>
            <w:r>
              <w:rPr>
                <w:rFonts w:ascii="LinTimes" w:hAnsi="LinTimes" w:eastAsia="黑体" w:cs="LinTimes"/>
                <w:kern w:val="0"/>
                <w:sz w:val="28"/>
                <w:szCs w:val="28"/>
                <w:lang w:bidi="ar"/>
              </w:rPr>
              <w:t>单位</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黑体" w:cs="LinTimes"/>
                <w:kern w:val="0"/>
                <w:sz w:val="28"/>
                <w:szCs w:val="28"/>
                <w:lang w:bidi="ar"/>
              </w:rPr>
            </w:pPr>
            <w:r>
              <w:rPr>
                <w:rFonts w:ascii="LinTimes" w:hAnsi="LinTimes" w:eastAsia="黑体" w:cs="LinTimes"/>
                <w:kern w:val="0"/>
                <w:sz w:val="28"/>
                <w:szCs w:val="28"/>
                <w:lang w:bidi="ar"/>
              </w:rPr>
              <w:t>晋升</w:t>
            </w:r>
          </w:p>
          <w:p>
            <w:pPr>
              <w:widowControl/>
              <w:spacing w:line="400" w:lineRule="exact"/>
              <w:jc w:val="center"/>
              <w:textAlignment w:val="center"/>
              <w:rPr>
                <w:rFonts w:ascii="LinTimes" w:hAnsi="LinTimes" w:eastAsia="黑体" w:cs="LinTimes"/>
                <w:sz w:val="28"/>
                <w:szCs w:val="28"/>
              </w:rPr>
            </w:pPr>
            <w:r>
              <w:rPr>
                <w:rFonts w:ascii="LinTimes" w:hAnsi="LinTimes" w:eastAsia="黑体" w:cs="LinTimes"/>
                <w:kern w:val="0"/>
                <w:sz w:val="28"/>
                <w:szCs w:val="28"/>
                <w:lang w:bidi="ar"/>
              </w:rPr>
              <w:t>副主任医师</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黑体" w:cs="LinTimes"/>
                <w:kern w:val="0"/>
                <w:sz w:val="28"/>
                <w:szCs w:val="28"/>
                <w:lang w:bidi="ar"/>
              </w:rPr>
            </w:pPr>
            <w:r>
              <w:rPr>
                <w:rFonts w:ascii="LinTimes" w:hAnsi="LinTimes" w:eastAsia="黑体" w:cs="LinTimes"/>
                <w:kern w:val="0"/>
                <w:sz w:val="28"/>
                <w:szCs w:val="28"/>
                <w:lang w:bidi="ar"/>
              </w:rPr>
              <w:t>晋升</w:t>
            </w:r>
          </w:p>
          <w:p>
            <w:pPr>
              <w:widowControl/>
              <w:spacing w:line="400" w:lineRule="exact"/>
              <w:jc w:val="center"/>
              <w:textAlignment w:val="center"/>
              <w:rPr>
                <w:rFonts w:ascii="LinTimes" w:hAnsi="LinTimes" w:eastAsia="黑体" w:cs="LinTimes"/>
                <w:sz w:val="28"/>
                <w:szCs w:val="28"/>
              </w:rPr>
            </w:pPr>
            <w:r>
              <w:rPr>
                <w:rFonts w:ascii="LinTimes" w:hAnsi="LinTimes" w:eastAsia="黑体" w:cs="LinTimes"/>
                <w:kern w:val="0"/>
                <w:sz w:val="28"/>
                <w:szCs w:val="28"/>
                <w:lang w:bidi="ar"/>
              </w:rPr>
              <w:t>主任医师</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黑体" w:cs="LinTimes"/>
                <w:sz w:val="28"/>
                <w:szCs w:val="28"/>
              </w:rPr>
            </w:pPr>
            <w:r>
              <w:rPr>
                <w:rFonts w:ascii="LinTimes" w:hAnsi="LinTimes" w:eastAsia="黑体" w:cs="LinTimes"/>
                <w:kern w:val="0"/>
                <w:sz w:val="28"/>
                <w:szCs w:val="28"/>
                <w:lang w:bidi="ar"/>
              </w:rPr>
              <w:t>临床专业</w:t>
            </w:r>
          </w:p>
        </w:tc>
      </w:tr>
      <w:tr>
        <w:tblPrEx>
          <w:tblCellMar>
            <w:top w:w="15" w:type="dxa"/>
            <w:left w:w="15" w:type="dxa"/>
            <w:bottom w:w="15" w:type="dxa"/>
            <w:right w:w="15" w:type="dxa"/>
          </w:tblCellMar>
        </w:tblPrEx>
        <w:trPr>
          <w:trHeight w:val="1095" w:hRule="atLeast"/>
          <w:jc w:val="center"/>
        </w:trPr>
        <w:tc>
          <w:tcPr>
            <w:tcW w:w="750"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临床</w:t>
            </w:r>
          </w:p>
        </w:tc>
        <w:tc>
          <w:tcPr>
            <w:tcW w:w="103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非手术为主临床专业</w:t>
            </w: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门诊工作量</w:t>
            </w:r>
          </w:p>
          <w:p>
            <w:pPr>
              <w:widowControl/>
              <w:spacing w:line="400" w:lineRule="exact"/>
              <w:jc w:val="center"/>
              <w:textAlignment w:val="center"/>
              <w:rPr>
                <w:rFonts w:ascii="LinTimes" w:hAnsi="LinTimes" w:eastAsia="仿宋_GB2312" w:cs="LinTimes"/>
                <w:sz w:val="26"/>
                <w:szCs w:val="26"/>
              </w:rPr>
            </w:pPr>
            <w:r>
              <w:rPr>
                <w:rFonts w:ascii="LinTimes" w:hAnsi="LinTimes" w:eastAsia="仿宋_GB2312" w:cs="LinTimes"/>
                <w:kern w:val="0"/>
                <w:sz w:val="26"/>
                <w:szCs w:val="26"/>
                <w:lang w:bidi="ar"/>
              </w:rPr>
              <w:t>（有病房）</w:t>
            </w: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单元</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400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600</w:t>
            </w:r>
          </w:p>
        </w:tc>
        <w:tc>
          <w:tcPr>
            <w:tcW w:w="608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left"/>
              <w:textAlignment w:val="center"/>
              <w:rPr>
                <w:rFonts w:ascii="LinTimes" w:hAnsi="LinTimes" w:eastAsia="仿宋_GB2312" w:cs="LinTimes"/>
                <w:sz w:val="26"/>
                <w:szCs w:val="26"/>
              </w:rPr>
            </w:pPr>
            <w:r>
              <w:rPr>
                <w:rFonts w:ascii="LinTimes" w:hAnsi="LinTimes" w:eastAsia="仿宋_GB2312" w:cs="LinTimes"/>
                <w:kern w:val="0"/>
                <w:sz w:val="26"/>
                <w:szCs w:val="26"/>
                <w:lang w:bidi="ar"/>
              </w:rPr>
              <w:t>内科学、心血管内科学、呼吸内科学、消化内科学、血液病学、内分泌学、风湿与临床免疫学、肾内科学、传染病学、变态反应学、神经内科学、精神病学、肿瘤内科学、儿科学等，对有病房的皮肤与性病学、康复医学、疼痛学、老年医学、全科医学可参照此执行。</w:t>
            </w:r>
          </w:p>
        </w:tc>
      </w:tr>
      <w:tr>
        <w:tblPrEx>
          <w:tblCellMar>
            <w:top w:w="15" w:type="dxa"/>
            <w:left w:w="15" w:type="dxa"/>
            <w:bottom w:w="15" w:type="dxa"/>
            <w:right w:w="15" w:type="dxa"/>
          </w:tblCellMar>
        </w:tblPrEx>
        <w:trPr>
          <w:trHeight w:val="1208" w:hRule="atLeast"/>
          <w:jc w:val="center"/>
        </w:trPr>
        <w:tc>
          <w:tcPr>
            <w:tcW w:w="750" w:type="dxa"/>
            <w:vMerge w:val="continue"/>
            <w:tcBorders>
              <w:left w:val="single" w:color="000000" w:sz="4" w:space="0"/>
              <w:right w:val="single" w:color="000000" w:sz="4" w:space="0"/>
            </w:tcBorders>
            <w:vAlign w:val="center"/>
          </w:tcPr>
          <w:p>
            <w:pPr>
              <w:jc w:val="center"/>
              <w:rPr>
                <w:rFonts w:ascii="LinTimes" w:hAnsi="LinTimes" w:eastAsia="仿宋_GB2312" w:cs="LinTimes"/>
                <w:sz w:val="28"/>
                <w:szCs w:val="28"/>
              </w:rPr>
            </w:pPr>
          </w:p>
        </w:tc>
        <w:tc>
          <w:tcPr>
            <w:tcW w:w="103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LinTimes" w:hAnsi="LinTimes" w:eastAsia="仿宋_GB2312" w:cs="LinTimes"/>
                <w:sz w:val="28"/>
                <w:szCs w:val="28"/>
              </w:rPr>
            </w:pP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出院人数</w:t>
            </w:r>
          </w:p>
          <w:p>
            <w:pPr>
              <w:widowControl/>
              <w:spacing w:line="400" w:lineRule="exact"/>
              <w:jc w:val="center"/>
              <w:textAlignment w:val="center"/>
              <w:rPr>
                <w:rFonts w:ascii="LinTimes" w:hAnsi="LinTimes" w:eastAsia="仿宋_GB2312" w:cs="LinTimes"/>
                <w:sz w:val="26"/>
                <w:szCs w:val="26"/>
              </w:rPr>
            </w:pPr>
            <w:r>
              <w:rPr>
                <w:rFonts w:ascii="LinTimes" w:hAnsi="LinTimes" w:eastAsia="仿宋_GB2312" w:cs="LinTimes"/>
                <w:spacing w:val="-23"/>
                <w:kern w:val="0"/>
                <w:sz w:val="26"/>
                <w:szCs w:val="26"/>
                <w:lang w:bidi="ar"/>
              </w:rPr>
              <w:t>（参与或作为治疗组长）</w:t>
            </w: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人次</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1000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1000</w:t>
            </w:r>
          </w:p>
        </w:tc>
        <w:tc>
          <w:tcPr>
            <w:tcW w:w="608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rPr>
                <w:rFonts w:ascii="LinTimes" w:hAnsi="LinTimes" w:eastAsia="仿宋_GB2312" w:cs="LinTimes"/>
                <w:sz w:val="26"/>
                <w:szCs w:val="26"/>
              </w:rPr>
            </w:pPr>
          </w:p>
        </w:tc>
      </w:tr>
      <w:tr>
        <w:tblPrEx>
          <w:tblCellMar>
            <w:top w:w="15" w:type="dxa"/>
            <w:left w:w="15" w:type="dxa"/>
            <w:bottom w:w="15" w:type="dxa"/>
            <w:right w:w="15" w:type="dxa"/>
          </w:tblCellMar>
        </w:tblPrEx>
        <w:trPr>
          <w:trHeight w:val="90" w:hRule="atLeast"/>
          <w:jc w:val="center"/>
        </w:trPr>
        <w:tc>
          <w:tcPr>
            <w:tcW w:w="750" w:type="dxa"/>
            <w:vMerge w:val="continue"/>
            <w:tcBorders>
              <w:left w:val="single" w:color="000000" w:sz="4" w:space="0"/>
              <w:right w:val="single" w:color="000000" w:sz="4" w:space="0"/>
            </w:tcBorders>
            <w:vAlign w:val="center"/>
          </w:tcPr>
          <w:p>
            <w:pPr>
              <w:jc w:val="center"/>
              <w:rPr>
                <w:rFonts w:ascii="LinTimes" w:hAnsi="LinTimes" w:eastAsia="仿宋_GB2312" w:cs="LinTimes"/>
                <w:sz w:val="28"/>
                <w:szCs w:val="28"/>
              </w:rPr>
            </w:pPr>
          </w:p>
        </w:tc>
        <w:tc>
          <w:tcPr>
            <w:tcW w:w="103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LinTimes" w:hAnsi="LinTimes" w:eastAsia="仿宋_GB2312" w:cs="LinTimes"/>
                <w:sz w:val="28"/>
                <w:szCs w:val="28"/>
              </w:rPr>
            </w:pP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门诊工作量</w:t>
            </w:r>
          </w:p>
          <w:p>
            <w:pPr>
              <w:widowControl/>
              <w:spacing w:line="400" w:lineRule="exact"/>
              <w:jc w:val="center"/>
              <w:textAlignment w:val="center"/>
              <w:rPr>
                <w:rFonts w:ascii="LinTimes" w:hAnsi="LinTimes" w:eastAsia="仿宋_GB2312" w:cs="LinTimes"/>
                <w:sz w:val="26"/>
                <w:szCs w:val="26"/>
              </w:rPr>
            </w:pPr>
            <w:r>
              <w:rPr>
                <w:rFonts w:ascii="LinTimes" w:hAnsi="LinTimes" w:eastAsia="仿宋_GB2312" w:cs="LinTimes"/>
                <w:kern w:val="0"/>
                <w:sz w:val="26"/>
                <w:szCs w:val="26"/>
                <w:lang w:bidi="ar"/>
              </w:rPr>
              <w:t>（无病房）</w:t>
            </w: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单元</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500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800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left"/>
              <w:textAlignment w:val="center"/>
              <w:rPr>
                <w:rFonts w:ascii="LinTimes" w:hAnsi="LinTimes" w:eastAsia="仿宋_GB2312" w:cs="LinTimes"/>
                <w:sz w:val="26"/>
                <w:szCs w:val="26"/>
              </w:rPr>
            </w:pPr>
            <w:r>
              <w:rPr>
                <w:rFonts w:ascii="LinTimes" w:hAnsi="LinTimes" w:eastAsia="仿宋_GB2312" w:cs="LinTimes"/>
                <w:kern w:val="0"/>
                <w:sz w:val="26"/>
                <w:szCs w:val="26"/>
                <w:lang w:bidi="ar"/>
              </w:rPr>
              <w:t>皮肤与性病学、精神病学、康复医学、疼痛学、老年医学、全科医学等</w:t>
            </w:r>
          </w:p>
        </w:tc>
      </w:tr>
      <w:tr>
        <w:tblPrEx>
          <w:tblCellMar>
            <w:top w:w="15" w:type="dxa"/>
            <w:left w:w="15" w:type="dxa"/>
            <w:bottom w:w="15" w:type="dxa"/>
            <w:right w:w="15" w:type="dxa"/>
          </w:tblCellMar>
        </w:tblPrEx>
        <w:trPr>
          <w:trHeight w:val="830" w:hRule="atLeast"/>
          <w:jc w:val="center"/>
        </w:trPr>
        <w:tc>
          <w:tcPr>
            <w:tcW w:w="750" w:type="dxa"/>
            <w:vMerge w:val="continue"/>
            <w:tcBorders>
              <w:left w:val="single" w:color="000000" w:sz="4" w:space="0"/>
              <w:right w:val="single" w:color="000000" w:sz="4" w:space="0"/>
            </w:tcBorders>
            <w:vAlign w:val="center"/>
          </w:tcPr>
          <w:p>
            <w:pPr>
              <w:jc w:val="center"/>
              <w:rPr>
                <w:rFonts w:ascii="LinTimes" w:hAnsi="LinTimes" w:eastAsia="仿宋_GB2312" w:cs="LinTimes"/>
                <w:sz w:val="28"/>
                <w:szCs w:val="28"/>
              </w:rPr>
            </w:pPr>
          </w:p>
        </w:tc>
        <w:tc>
          <w:tcPr>
            <w:tcW w:w="103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LinTimes" w:hAnsi="LinTimes" w:eastAsia="仿宋_GB2312" w:cs="LinTimes"/>
                <w:sz w:val="28"/>
                <w:szCs w:val="28"/>
              </w:rPr>
            </w:pP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6"/>
                <w:szCs w:val="26"/>
              </w:rPr>
            </w:pPr>
            <w:r>
              <w:rPr>
                <w:rFonts w:ascii="LinTimes" w:hAnsi="LinTimes" w:eastAsia="仿宋_GB2312" w:cs="LinTimes"/>
                <w:kern w:val="0"/>
                <w:sz w:val="26"/>
                <w:szCs w:val="26"/>
                <w:lang w:bidi="ar"/>
              </w:rPr>
              <w:t>手术/操作人次</w:t>
            </w: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人次</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lang w:bidi="ar"/>
              </w:rPr>
            </w:pPr>
            <w:r>
              <w:rPr>
                <w:rFonts w:ascii="LinTimes" w:hAnsi="LinTimes" w:eastAsia="仿宋_GB2312" w:cs="LinTimes"/>
                <w:sz w:val="28"/>
                <w:szCs w:val="28"/>
                <w:lang w:bidi="ar"/>
              </w:rPr>
              <w:t>内镜 5000；</w:t>
            </w:r>
          </w:p>
          <w:p>
            <w:pPr>
              <w:widowControl/>
              <w:spacing w:line="400" w:lineRule="exact"/>
              <w:jc w:val="center"/>
              <w:textAlignment w:val="center"/>
              <w:rPr>
                <w:rFonts w:ascii="LinTimes" w:hAnsi="LinTimes" w:eastAsia="仿宋_GB2312" w:cs="LinTimes"/>
                <w:sz w:val="28"/>
                <w:szCs w:val="28"/>
              </w:rPr>
            </w:pPr>
            <w:r>
              <w:rPr>
                <w:rFonts w:ascii="LinTimes" w:hAnsi="LinTimes" w:eastAsia="仿宋_GB2312" w:cs="LinTimes"/>
                <w:sz w:val="28"/>
                <w:szCs w:val="28"/>
                <w:lang w:bidi="ar"/>
              </w:rPr>
              <w:t>支气管镜200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rPr>
            </w:pPr>
            <w:r>
              <w:rPr>
                <w:rFonts w:ascii="LinTimes" w:hAnsi="LinTimes" w:eastAsia="仿宋_GB2312" w:cs="LinTimes"/>
                <w:sz w:val="28"/>
                <w:szCs w:val="28"/>
                <w:lang w:bidi="ar"/>
              </w:rPr>
              <w:t>内镜 5000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left"/>
              <w:textAlignment w:val="center"/>
              <w:rPr>
                <w:rFonts w:ascii="LinTimes" w:hAnsi="LinTimes" w:eastAsia="仿宋_GB2312" w:cs="LinTimes"/>
                <w:sz w:val="26"/>
                <w:szCs w:val="26"/>
              </w:rPr>
            </w:pPr>
            <w:r>
              <w:rPr>
                <w:rFonts w:ascii="LinTimes" w:hAnsi="LinTimes" w:eastAsia="仿宋_GB2312" w:cs="LinTimes"/>
                <w:kern w:val="0"/>
                <w:sz w:val="26"/>
                <w:szCs w:val="26"/>
                <w:lang w:bidi="ar"/>
              </w:rPr>
              <w:t>消化内科学、呼吸内科学</w:t>
            </w:r>
          </w:p>
        </w:tc>
      </w:tr>
      <w:tr>
        <w:tblPrEx>
          <w:tblCellMar>
            <w:top w:w="15" w:type="dxa"/>
            <w:left w:w="15" w:type="dxa"/>
            <w:bottom w:w="15" w:type="dxa"/>
            <w:right w:w="15" w:type="dxa"/>
          </w:tblCellMar>
        </w:tblPrEx>
        <w:trPr>
          <w:trHeight w:val="1543" w:hRule="atLeast"/>
          <w:jc w:val="center"/>
        </w:trPr>
        <w:tc>
          <w:tcPr>
            <w:tcW w:w="750" w:type="dxa"/>
            <w:vMerge w:val="continue"/>
            <w:tcBorders>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c>
          <w:tcPr>
            <w:tcW w:w="103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LinTimes" w:hAnsi="LinTimes" w:eastAsia="仿宋_GB2312" w:cs="LinTimes"/>
                <w:sz w:val="28"/>
                <w:szCs w:val="28"/>
              </w:rPr>
            </w:pPr>
            <w:r>
              <w:rPr>
                <w:rFonts w:ascii="LinTimes" w:hAnsi="LinTimes" w:eastAsia="仿宋_GB2312" w:cs="LinTimes"/>
                <w:kern w:val="0"/>
                <w:sz w:val="28"/>
                <w:szCs w:val="28"/>
                <w:lang w:bidi="ar"/>
              </w:rPr>
              <w:t>手术为主临床专业</w:t>
            </w:r>
          </w:p>
        </w:tc>
        <w:tc>
          <w:tcPr>
            <w:tcW w:w="262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门诊工作量</w:t>
            </w:r>
          </w:p>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（有病房）</w:t>
            </w:r>
          </w:p>
        </w:tc>
        <w:tc>
          <w:tcPr>
            <w:tcW w:w="97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个</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lang w:bidi="ar"/>
              </w:rPr>
            </w:pPr>
            <w:r>
              <w:rPr>
                <w:rFonts w:ascii="LinTimes" w:hAnsi="LinTimes" w:eastAsia="仿宋_GB2312" w:cs="LinTimes"/>
                <w:kern w:val="0"/>
                <w:sz w:val="28"/>
                <w:szCs w:val="28"/>
                <w:lang w:bidi="ar"/>
              </w:rPr>
              <w:t>400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lang w:bidi="ar"/>
              </w:rPr>
            </w:pPr>
            <w:r>
              <w:rPr>
                <w:rFonts w:ascii="LinTimes" w:hAnsi="LinTimes" w:eastAsia="仿宋_GB2312" w:cs="LinTimes"/>
                <w:kern w:val="0"/>
                <w:sz w:val="28"/>
                <w:szCs w:val="28"/>
                <w:lang w:bidi="ar"/>
              </w:rPr>
              <w:t>500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left"/>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外科学、普通外科学、骨外科学、泌尿外科学、小儿外科学、妇产科学、妇科学、产科学、耳鼻咽喉科学、眼科学、肿瘤学、运动医学、计划生育学等</w:t>
            </w:r>
          </w:p>
        </w:tc>
      </w:tr>
      <w:tr>
        <w:tblPrEx>
          <w:tblCellMar>
            <w:top w:w="15" w:type="dxa"/>
            <w:left w:w="15" w:type="dxa"/>
            <w:bottom w:w="15" w:type="dxa"/>
            <w:right w:w="15" w:type="dxa"/>
          </w:tblCellMar>
        </w:tblPrEx>
        <w:trPr>
          <w:trHeight w:val="342"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c>
          <w:tcPr>
            <w:tcW w:w="103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c>
          <w:tcPr>
            <w:tcW w:w="262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20" w:lineRule="exact"/>
              <w:jc w:val="center"/>
              <w:textAlignment w:val="center"/>
              <w:rPr>
                <w:rFonts w:ascii="LinTimes" w:hAnsi="LinTimes" w:eastAsia="仿宋_GB2312" w:cs="LinTimes"/>
                <w:kern w:val="0"/>
                <w:sz w:val="26"/>
                <w:szCs w:val="26"/>
                <w:lang w:bidi="ar"/>
              </w:rPr>
            </w:pP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lang w:bidi="ar"/>
              </w:rPr>
            </w:pPr>
            <w:r>
              <w:rPr>
                <w:rFonts w:ascii="LinTimes" w:hAnsi="LinTimes" w:eastAsia="仿宋_GB2312" w:cs="LinTimes"/>
                <w:kern w:val="0"/>
                <w:sz w:val="28"/>
                <w:szCs w:val="28"/>
                <w:lang w:bidi="ar"/>
              </w:rPr>
              <w:t>300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lang w:bidi="ar"/>
              </w:rPr>
            </w:pPr>
            <w:r>
              <w:rPr>
                <w:rFonts w:ascii="LinTimes" w:hAnsi="LinTimes" w:eastAsia="仿宋_GB2312" w:cs="LinTimes"/>
                <w:kern w:val="0"/>
                <w:sz w:val="28"/>
                <w:szCs w:val="28"/>
                <w:lang w:bidi="ar"/>
              </w:rPr>
              <w:t>400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left"/>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胸心外科学、神经外科学、烧伤外科学、整形外科学</w:t>
            </w:r>
          </w:p>
        </w:tc>
      </w:tr>
      <w:tr>
        <w:tblPrEx>
          <w:tblCellMar>
            <w:top w:w="15" w:type="dxa"/>
            <w:left w:w="15" w:type="dxa"/>
            <w:bottom w:w="15" w:type="dxa"/>
            <w:right w:w="15" w:type="dxa"/>
          </w:tblCellMar>
        </w:tblPrEx>
        <w:trPr>
          <w:trHeight w:val="720" w:hRule="atLeast"/>
          <w:jc w:val="center"/>
        </w:trPr>
        <w:tc>
          <w:tcPr>
            <w:tcW w:w="750"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临床</w:t>
            </w:r>
          </w:p>
        </w:tc>
        <w:tc>
          <w:tcPr>
            <w:tcW w:w="103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手术为主临床专业</w:t>
            </w:r>
          </w:p>
        </w:tc>
        <w:tc>
          <w:tcPr>
            <w:tcW w:w="2626" w:type="dxa"/>
            <w:vMerge w:val="restart"/>
            <w:tcBorders>
              <w:top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出院人数</w:t>
            </w:r>
          </w:p>
          <w:p>
            <w:pPr>
              <w:widowControl/>
              <w:spacing w:line="320" w:lineRule="exact"/>
              <w:jc w:val="center"/>
              <w:textAlignment w:val="center"/>
              <w:rPr>
                <w:rFonts w:ascii="LinTimes" w:hAnsi="LinTimes" w:eastAsia="仿宋_GB2312" w:cs="LinTimes"/>
                <w:sz w:val="26"/>
                <w:szCs w:val="26"/>
              </w:rPr>
            </w:pPr>
            <w:r>
              <w:rPr>
                <w:rFonts w:ascii="LinTimes" w:hAnsi="LinTimes" w:eastAsia="仿宋_GB2312" w:cs="LinTimes"/>
                <w:spacing w:val="-23"/>
                <w:kern w:val="0"/>
                <w:sz w:val="26"/>
                <w:szCs w:val="26"/>
                <w:lang w:bidi="ar"/>
              </w:rPr>
              <w:t>（参与或作为治疗组长）</w:t>
            </w:r>
          </w:p>
        </w:tc>
        <w:tc>
          <w:tcPr>
            <w:tcW w:w="9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人次</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400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500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LinTimes" w:hAnsi="LinTimes" w:eastAsia="仿宋_GB2312" w:cs="LinTimes"/>
                <w:sz w:val="26"/>
                <w:szCs w:val="26"/>
              </w:rPr>
            </w:pPr>
            <w:r>
              <w:rPr>
                <w:rFonts w:ascii="LinTimes" w:hAnsi="LinTimes" w:eastAsia="仿宋_GB2312" w:cs="LinTimes"/>
                <w:kern w:val="0"/>
                <w:sz w:val="26"/>
                <w:szCs w:val="26"/>
                <w:lang w:bidi="ar"/>
              </w:rPr>
              <w:t>胸心外科学（心外）、神经外科学、烧伤外科学</w:t>
            </w:r>
          </w:p>
        </w:tc>
      </w:tr>
      <w:tr>
        <w:tblPrEx>
          <w:tblCellMar>
            <w:top w:w="15" w:type="dxa"/>
            <w:left w:w="15" w:type="dxa"/>
            <w:bottom w:w="15" w:type="dxa"/>
            <w:right w:w="15" w:type="dxa"/>
          </w:tblCellMar>
        </w:tblPrEx>
        <w:trPr>
          <w:trHeight w:val="765" w:hRule="atLeast"/>
          <w:jc w:val="center"/>
        </w:trPr>
        <w:tc>
          <w:tcPr>
            <w:tcW w:w="750" w:type="dxa"/>
            <w:vMerge w:val="continue"/>
            <w:tcBorders>
              <w:left w:val="single" w:color="000000" w:sz="4" w:space="0"/>
              <w:right w:val="single" w:color="000000" w:sz="4" w:space="0"/>
            </w:tcBorders>
            <w:vAlign w:val="center"/>
          </w:tcPr>
          <w:p>
            <w:pPr>
              <w:widowControl/>
              <w:spacing w:line="320" w:lineRule="exact"/>
              <w:jc w:val="center"/>
              <w:rPr>
                <w:rFonts w:ascii="LinTimes" w:hAnsi="LinTimes" w:eastAsia="仿宋_GB2312" w:cs="LinTimes"/>
                <w:sz w:val="28"/>
                <w:szCs w:val="28"/>
              </w:rPr>
            </w:pPr>
          </w:p>
        </w:tc>
        <w:tc>
          <w:tcPr>
            <w:tcW w:w="1038" w:type="dxa"/>
            <w:vMerge w:val="continue"/>
            <w:tcBorders>
              <w:left w:val="single" w:color="000000" w:sz="4" w:space="0"/>
              <w:right w:val="single" w:color="000000" w:sz="4" w:space="0"/>
            </w:tcBorders>
            <w:vAlign w:val="center"/>
          </w:tcPr>
          <w:p>
            <w:pPr>
              <w:widowControl/>
              <w:spacing w:line="320" w:lineRule="exact"/>
              <w:jc w:val="center"/>
              <w:rPr>
                <w:rFonts w:ascii="LinTimes" w:hAnsi="LinTimes" w:eastAsia="仿宋_GB2312" w:cs="LinTimes"/>
                <w:sz w:val="28"/>
                <w:szCs w:val="28"/>
              </w:rPr>
            </w:pPr>
          </w:p>
        </w:tc>
        <w:tc>
          <w:tcPr>
            <w:tcW w:w="2626" w:type="dxa"/>
            <w:vMerge w:val="continue"/>
            <w:tcBorders>
              <w:top w:val="single" w:color="000000" w:sz="4" w:space="0"/>
              <w:bottom w:val="single" w:color="000000" w:sz="4" w:space="0"/>
              <w:right w:val="single" w:color="000000" w:sz="4" w:space="0"/>
            </w:tcBorders>
            <w:vAlign w:val="center"/>
          </w:tcPr>
          <w:p>
            <w:pPr>
              <w:widowControl/>
              <w:spacing w:line="320" w:lineRule="exact"/>
              <w:jc w:val="center"/>
              <w:rPr>
                <w:rFonts w:ascii="LinTimes" w:hAnsi="LinTimes" w:eastAsia="仿宋_GB2312" w:cs="LinTimes"/>
                <w:sz w:val="26"/>
                <w:szCs w:val="26"/>
              </w:rPr>
            </w:pP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LinTimes" w:hAnsi="LinTimes" w:eastAsia="仿宋_GB2312" w:cs="LinTimes"/>
                <w:sz w:val="28"/>
                <w:szCs w:val="28"/>
              </w:rPr>
            </w:pP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1500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2000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LinTimes" w:hAnsi="LinTimes" w:eastAsia="仿宋_GB2312" w:cs="LinTimes"/>
                <w:sz w:val="26"/>
                <w:szCs w:val="26"/>
              </w:rPr>
            </w:pPr>
            <w:r>
              <w:rPr>
                <w:rFonts w:ascii="LinTimes" w:hAnsi="LinTimes" w:eastAsia="仿宋_GB2312" w:cs="LinTimes"/>
                <w:kern w:val="0"/>
                <w:sz w:val="26"/>
                <w:szCs w:val="26"/>
                <w:lang w:bidi="ar"/>
              </w:rPr>
              <w:t>外科学、普通外科学、骨外科学、妇产科学、妇科学、产科学、眼科学</w:t>
            </w:r>
          </w:p>
        </w:tc>
      </w:tr>
      <w:tr>
        <w:tblPrEx>
          <w:tblCellMar>
            <w:top w:w="15" w:type="dxa"/>
            <w:left w:w="15" w:type="dxa"/>
            <w:bottom w:w="15" w:type="dxa"/>
            <w:right w:w="15" w:type="dxa"/>
          </w:tblCellMar>
        </w:tblPrEx>
        <w:trPr>
          <w:trHeight w:val="820" w:hRule="atLeast"/>
          <w:jc w:val="center"/>
        </w:trPr>
        <w:tc>
          <w:tcPr>
            <w:tcW w:w="750" w:type="dxa"/>
            <w:vMerge w:val="continue"/>
            <w:tcBorders>
              <w:left w:val="single" w:color="000000" w:sz="4" w:space="0"/>
              <w:right w:val="single" w:color="000000" w:sz="4" w:space="0"/>
            </w:tcBorders>
            <w:vAlign w:val="center"/>
          </w:tcPr>
          <w:p>
            <w:pPr>
              <w:widowControl/>
              <w:spacing w:line="320" w:lineRule="exact"/>
              <w:jc w:val="center"/>
              <w:rPr>
                <w:rFonts w:ascii="LinTimes" w:hAnsi="LinTimes" w:eastAsia="仿宋_GB2312" w:cs="LinTimes"/>
                <w:sz w:val="28"/>
                <w:szCs w:val="28"/>
              </w:rPr>
            </w:pPr>
          </w:p>
        </w:tc>
        <w:tc>
          <w:tcPr>
            <w:tcW w:w="1038" w:type="dxa"/>
            <w:vMerge w:val="continue"/>
            <w:tcBorders>
              <w:left w:val="single" w:color="000000" w:sz="4" w:space="0"/>
              <w:right w:val="single" w:color="000000" w:sz="4" w:space="0"/>
            </w:tcBorders>
            <w:vAlign w:val="center"/>
          </w:tcPr>
          <w:p>
            <w:pPr>
              <w:widowControl/>
              <w:spacing w:line="320" w:lineRule="exact"/>
              <w:jc w:val="center"/>
              <w:rPr>
                <w:rFonts w:ascii="LinTimes" w:hAnsi="LinTimes" w:eastAsia="仿宋_GB2312" w:cs="LinTimes"/>
                <w:sz w:val="28"/>
                <w:szCs w:val="28"/>
              </w:rPr>
            </w:pPr>
          </w:p>
        </w:tc>
        <w:tc>
          <w:tcPr>
            <w:tcW w:w="2626" w:type="dxa"/>
            <w:vMerge w:val="continue"/>
            <w:tcBorders>
              <w:top w:val="single" w:color="000000" w:sz="4" w:space="0"/>
              <w:bottom w:val="single" w:color="000000" w:sz="4" w:space="0"/>
              <w:right w:val="single" w:color="000000" w:sz="4" w:space="0"/>
            </w:tcBorders>
            <w:vAlign w:val="center"/>
          </w:tcPr>
          <w:p>
            <w:pPr>
              <w:widowControl/>
              <w:spacing w:line="320" w:lineRule="exact"/>
              <w:jc w:val="center"/>
              <w:rPr>
                <w:rFonts w:ascii="LinTimes" w:hAnsi="LinTimes" w:eastAsia="仿宋_GB2312" w:cs="LinTimes"/>
                <w:sz w:val="26"/>
                <w:szCs w:val="26"/>
              </w:rPr>
            </w:pP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LinTimes" w:hAnsi="LinTimes" w:eastAsia="仿宋_GB2312" w:cs="LinTimes"/>
                <w:sz w:val="28"/>
                <w:szCs w:val="28"/>
              </w:rPr>
            </w:pP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600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1000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LinTimes" w:hAnsi="LinTimes" w:eastAsia="仿宋_GB2312" w:cs="LinTimes"/>
                <w:sz w:val="26"/>
                <w:szCs w:val="26"/>
              </w:rPr>
            </w:pPr>
            <w:r>
              <w:rPr>
                <w:rFonts w:ascii="LinTimes" w:hAnsi="LinTimes" w:eastAsia="仿宋_GB2312" w:cs="LinTimes"/>
                <w:kern w:val="0"/>
                <w:sz w:val="26"/>
                <w:szCs w:val="26"/>
                <w:lang w:bidi="ar"/>
              </w:rPr>
              <w:t>胸心外科学（胸外）、泌尿外科学、耳鼻咽喉科学、肿瘤学、运动医学、小儿外科学</w:t>
            </w:r>
          </w:p>
        </w:tc>
      </w:tr>
      <w:tr>
        <w:tblPrEx>
          <w:tblCellMar>
            <w:top w:w="15" w:type="dxa"/>
            <w:left w:w="15" w:type="dxa"/>
            <w:bottom w:w="15" w:type="dxa"/>
            <w:right w:w="15" w:type="dxa"/>
          </w:tblCellMar>
        </w:tblPrEx>
        <w:trPr>
          <w:trHeight w:val="718" w:hRule="atLeast"/>
          <w:jc w:val="center"/>
        </w:trPr>
        <w:tc>
          <w:tcPr>
            <w:tcW w:w="750" w:type="dxa"/>
            <w:vMerge w:val="continue"/>
            <w:tcBorders>
              <w:left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p>
        </w:tc>
        <w:tc>
          <w:tcPr>
            <w:tcW w:w="1038" w:type="dxa"/>
            <w:vMerge w:val="continue"/>
            <w:tcBorders>
              <w:left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p>
        </w:tc>
        <w:tc>
          <w:tcPr>
            <w:tcW w:w="262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出院患者手术</w:t>
            </w:r>
          </w:p>
          <w:p>
            <w:pPr>
              <w:widowControl/>
              <w:spacing w:line="320" w:lineRule="exact"/>
              <w:jc w:val="center"/>
              <w:textAlignment w:val="center"/>
              <w:rPr>
                <w:rFonts w:ascii="LinTimes" w:hAnsi="LinTimes" w:eastAsia="仿宋_GB2312" w:cs="LinTimes"/>
                <w:sz w:val="26"/>
                <w:szCs w:val="26"/>
              </w:rPr>
            </w:pPr>
            <w:r>
              <w:rPr>
                <w:rFonts w:ascii="LinTimes" w:hAnsi="LinTimes" w:eastAsia="仿宋_GB2312" w:cs="LinTimes"/>
                <w:kern w:val="0"/>
                <w:sz w:val="26"/>
                <w:szCs w:val="26"/>
                <w:lang w:bidi="ar"/>
              </w:rPr>
              <w:t>/操作人次</w:t>
            </w:r>
          </w:p>
        </w:tc>
        <w:tc>
          <w:tcPr>
            <w:tcW w:w="9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人次</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800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1000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LinTimes" w:hAnsi="LinTimes" w:eastAsia="仿宋_GB2312" w:cs="LinTimes"/>
                <w:sz w:val="26"/>
                <w:szCs w:val="26"/>
              </w:rPr>
            </w:pPr>
            <w:r>
              <w:rPr>
                <w:rFonts w:ascii="LinTimes" w:hAnsi="LinTimes" w:eastAsia="仿宋_GB2312" w:cs="LinTimes"/>
                <w:kern w:val="0"/>
                <w:sz w:val="26"/>
                <w:szCs w:val="26"/>
                <w:lang w:bidi="ar"/>
              </w:rPr>
              <w:t>外科学、普通外科学、骨外科学、眼科学、运动医学、整形外科学、计划生育学</w:t>
            </w:r>
          </w:p>
        </w:tc>
      </w:tr>
      <w:tr>
        <w:tblPrEx>
          <w:tblCellMar>
            <w:top w:w="15" w:type="dxa"/>
            <w:left w:w="15" w:type="dxa"/>
            <w:bottom w:w="15" w:type="dxa"/>
            <w:right w:w="15" w:type="dxa"/>
          </w:tblCellMar>
        </w:tblPrEx>
        <w:trPr>
          <w:trHeight w:val="90" w:hRule="atLeast"/>
          <w:jc w:val="center"/>
        </w:trPr>
        <w:tc>
          <w:tcPr>
            <w:tcW w:w="750" w:type="dxa"/>
            <w:vMerge w:val="continue"/>
            <w:tcBorders>
              <w:left w:val="single" w:color="000000" w:sz="4" w:space="0"/>
              <w:right w:val="single" w:color="000000" w:sz="4" w:space="0"/>
            </w:tcBorders>
            <w:vAlign w:val="center"/>
          </w:tcPr>
          <w:p>
            <w:pPr>
              <w:widowControl/>
              <w:spacing w:line="320" w:lineRule="exact"/>
              <w:jc w:val="center"/>
              <w:rPr>
                <w:rFonts w:ascii="LinTimes" w:hAnsi="LinTimes" w:eastAsia="仿宋_GB2312" w:cs="LinTimes"/>
                <w:sz w:val="28"/>
                <w:szCs w:val="28"/>
              </w:rPr>
            </w:pPr>
          </w:p>
        </w:tc>
        <w:tc>
          <w:tcPr>
            <w:tcW w:w="1038" w:type="dxa"/>
            <w:vMerge w:val="continue"/>
            <w:tcBorders>
              <w:left w:val="single" w:color="000000" w:sz="4" w:space="0"/>
              <w:right w:val="single" w:color="000000" w:sz="4" w:space="0"/>
            </w:tcBorders>
            <w:vAlign w:val="center"/>
          </w:tcPr>
          <w:p>
            <w:pPr>
              <w:widowControl/>
              <w:spacing w:line="320" w:lineRule="exact"/>
              <w:jc w:val="center"/>
              <w:rPr>
                <w:rFonts w:ascii="LinTimes" w:hAnsi="LinTimes" w:eastAsia="仿宋_GB2312" w:cs="LinTimes"/>
                <w:sz w:val="28"/>
                <w:szCs w:val="28"/>
              </w:rPr>
            </w:pPr>
          </w:p>
        </w:tc>
        <w:tc>
          <w:tcPr>
            <w:tcW w:w="262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LinTimes" w:hAnsi="LinTimes" w:eastAsia="仿宋_GB2312" w:cs="LinTimes"/>
                <w:sz w:val="26"/>
                <w:szCs w:val="26"/>
              </w:rPr>
            </w:pP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LinTimes" w:hAnsi="LinTimes" w:eastAsia="仿宋_GB2312" w:cs="LinTimes"/>
                <w:sz w:val="28"/>
                <w:szCs w:val="28"/>
              </w:rPr>
            </w:pP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400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500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LinTimes" w:hAnsi="LinTimes" w:eastAsia="仿宋_GB2312" w:cs="LinTimes"/>
                <w:sz w:val="26"/>
                <w:szCs w:val="26"/>
              </w:rPr>
            </w:pPr>
            <w:r>
              <w:rPr>
                <w:rFonts w:ascii="LinTimes" w:hAnsi="LinTimes" w:eastAsia="仿宋_GB2312" w:cs="LinTimes"/>
                <w:kern w:val="0"/>
                <w:sz w:val="26"/>
                <w:szCs w:val="26"/>
                <w:lang w:bidi="ar"/>
              </w:rPr>
              <w:t>胸心外科学（胸外），泌尿外科学、小儿外科学、耳鼻咽喉科学、肿瘤外科学、妇产科学、妇科学、产科学</w:t>
            </w:r>
          </w:p>
        </w:tc>
      </w:tr>
      <w:tr>
        <w:tblPrEx>
          <w:tblCellMar>
            <w:top w:w="15" w:type="dxa"/>
            <w:left w:w="15" w:type="dxa"/>
            <w:bottom w:w="15" w:type="dxa"/>
            <w:right w:w="15" w:type="dxa"/>
          </w:tblCellMar>
        </w:tblPrEx>
        <w:trPr>
          <w:trHeight w:val="716" w:hRule="atLeast"/>
          <w:jc w:val="center"/>
        </w:trPr>
        <w:tc>
          <w:tcPr>
            <w:tcW w:w="750"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rPr>
                <w:rFonts w:ascii="LinTimes" w:hAnsi="LinTimes" w:eastAsia="仿宋_GB2312" w:cs="LinTimes"/>
                <w:sz w:val="28"/>
                <w:szCs w:val="28"/>
              </w:rPr>
            </w:pPr>
          </w:p>
        </w:tc>
        <w:tc>
          <w:tcPr>
            <w:tcW w:w="1038"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rPr>
                <w:rFonts w:ascii="LinTimes" w:hAnsi="LinTimes" w:eastAsia="仿宋_GB2312" w:cs="LinTimes"/>
                <w:sz w:val="28"/>
                <w:szCs w:val="28"/>
              </w:rPr>
            </w:pPr>
          </w:p>
        </w:tc>
        <w:tc>
          <w:tcPr>
            <w:tcW w:w="262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LinTimes" w:hAnsi="LinTimes" w:eastAsia="仿宋_GB2312" w:cs="LinTimes"/>
                <w:sz w:val="26"/>
                <w:szCs w:val="26"/>
              </w:rPr>
            </w:pP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LinTimes" w:hAnsi="LinTimes" w:eastAsia="仿宋_GB2312" w:cs="LinTimes"/>
                <w:sz w:val="28"/>
                <w:szCs w:val="28"/>
              </w:rPr>
            </w:pP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200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300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LinTimes" w:hAnsi="LinTimes" w:eastAsia="仿宋_GB2312" w:cs="LinTimes"/>
                <w:sz w:val="26"/>
                <w:szCs w:val="26"/>
              </w:rPr>
            </w:pPr>
            <w:r>
              <w:rPr>
                <w:rFonts w:ascii="LinTimes" w:hAnsi="LinTimes" w:eastAsia="仿宋_GB2312" w:cs="LinTimes"/>
                <w:kern w:val="0"/>
                <w:sz w:val="26"/>
                <w:szCs w:val="26"/>
                <w:lang w:bidi="ar"/>
              </w:rPr>
              <w:t>胸心外科学（心外）、神经外科学、烧伤外科学</w:t>
            </w:r>
          </w:p>
        </w:tc>
      </w:tr>
      <w:tr>
        <w:tblPrEx>
          <w:tblCellMar>
            <w:top w:w="15" w:type="dxa"/>
            <w:left w:w="15" w:type="dxa"/>
            <w:bottom w:w="15" w:type="dxa"/>
            <w:right w:w="15" w:type="dxa"/>
          </w:tblCellMar>
        </w:tblPrEx>
        <w:trPr>
          <w:trHeight w:val="615" w:hRule="atLeast"/>
          <w:jc w:val="center"/>
        </w:trPr>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临床</w:t>
            </w:r>
          </w:p>
        </w:tc>
        <w:tc>
          <w:tcPr>
            <w:tcW w:w="103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其他临床专业</w:t>
            </w: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6"/>
                <w:szCs w:val="26"/>
              </w:rPr>
            </w:pPr>
            <w:r>
              <w:rPr>
                <w:rFonts w:ascii="LinTimes" w:hAnsi="LinTimes" w:eastAsia="仿宋_GB2312" w:cs="LinTimes"/>
                <w:kern w:val="0"/>
                <w:sz w:val="26"/>
                <w:szCs w:val="26"/>
                <w:lang w:bidi="ar"/>
              </w:rPr>
              <w:t>参与诊疗患者人数</w:t>
            </w: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人次</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1500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1000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临床营养学、重症医学、麻醉学、疼痛学、急诊医学、临床医学检验学</w:t>
            </w:r>
          </w:p>
        </w:tc>
      </w:tr>
      <w:tr>
        <w:tblPrEx>
          <w:tblCellMar>
            <w:top w:w="15" w:type="dxa"/>
            <w:left w:w="15" w:type="dxa"/>
            <w:bottom w:w="15" w:type="dxa"/>
            <w:right w:w="15" w:type="dxa"/>
          </w:tblCellMar>
        </w:tblPrEx>
        <w:trPr>
          <w:trHeight w:val="615"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p>
        </w:tc>
        <w:tc>
          <w:tcPr>
            <w:tcW w:w="103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8"/>
                <w:szCs w:val="28"/>
                <w:lang w:bidi="ar"/>
              </w:rPr>
            </w:pPr>
          </w:p>
        </w:tc>
        <w:tc>
          <w:tcPr>
            <w:tcW w:w="262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签发检查报告份数</w:t>
            </w: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份</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7500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5000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临床医学检验学</w:t>
            </w:r>
          </w:p>
        </w:tc>
      </w:tr>
      <w:tr>
        <w:tblPrEx>
          <w:tblCellMar>
            <w:top w:w="15" w:type="dxa"/>
            <w:left w:w="15" w:type="dxa"/>
            <w:bottom w:w="15" w:type="dxa"/>
            <w:right w:w="15" w:type="dxa"/>
          </w:tblCellMar>
        </w:tblPrEx>
        <w:trPr>
          <w:trHeight w:val="615"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p>
        </w:tc>
        <w:tc>
          <w:tcPr>
            <w:tcW w:w="103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8"/>
                <w:szCs w:val="28"/>
                <w:lang w:bidi="ar"/>
              </w:rPr>
            </w:pPr>
          </w:p>
        </w:tc>
        <w:tc>
          <w:tcPr>
            <w:tcW w:w="262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6"/>
                <w:szCs w:val="26"/>
                <w:lang w:bidi="ar"/>
              </w:rPr>
            </w:pP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份</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5000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5000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放射医学、超声医学</w:t>
            </w:r>
          </w:p>
        </w:tc>
      </w:tr>
      <w:tr>
        <w:tblPrEx>
          <w:tblCellMar>
            <w:top w:w="15" w:type="dxa"/>
            <w:left w:w="15" w:type="dxa"/>
            <w:bottom w:w="15" w:type="dxa"/>
            <w:right w:w="15" w:type="dxa"/>
          </w:tblCellMar>
        </w:tblPrEx>
        <w:trPr>
          <w:trHeight w:val="90"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p>
        </w:tc>
        <w:tc>
          <w:tcPr>
            <w:tcW w:w="103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8"/>
                <w:szCs w:val="28"/>
                <w:lang w:bidi="ar"/>
              </w:rPr>
            </w:pPr>
          </w:p>
        </w:tc>
        <w:tc>
          <w:tcPr>
            <w:tcW w:w="262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6"/>
                <w:szCs w:val="26"/>
                <w:lang w:bidi="ar"/>
              </w:rPr>
            </w:pP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份</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4000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4000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病理学</w:t>
            </w:r>
          </w:p>
        </w:tc>
      </w:tr>
      <w:tr>
        <w:tblPrEx>
          <w:tblCellMar>
            <w:top w:w="15" w:type="dxa"/>
            <w:left w:w="15" w:type="dxa"/>
            <w:bottom w:w="15" w:type="dxa"/>
            <w:right w:w="15" w:type="dxa"/>
          </w:tblCellMar>
        </w:tblPrEx>
        <w:trPr>
          <w:trHeight w:val="596"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c>
          <w:tcPr>
            <w:tcW w:w="103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c>
          <w:tcPr>
            <w:tcW w:w="262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6"/>
                <w:szCs w:val="26"/>
              </w:rPr>
            </w:pP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份</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2500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3000</w:t>
            </w:r>
          </w:p>
        </w:tc>
        <w:tc>
          <w:tcPr>
            <w:tcW w:w="60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核医学</w:t>
            </w:r>
          </w:p>
        </w:tc>
      </w:tr>
      <w:tr>
        <w:tblPrEx>
          <w:tblCellMar>
            <w:top w:w="15" w:type="dxa"/>
            <w:left w:w="15" w:type="dxa"/>
            <w:bottom w:w="15" w:type="dxa"/>
            <w:right w:w="15" w:type="dxa"/>
          </w:tblCellMar>
        </w:tblPrEx>
        <w:trPr>
          <w:trHeight w:val="624" w:hRule="atLeast"/>
          <w:jc w:val="center"/>
        </w:trPr>
        <w:tc>
          <w:tcPr>
            <w:tcW w:w="750"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中医</w:t>
            </w:r>
          </w:p>
        </w:tc>
        <w:tc>
          <w:tcPr>
            <w:tcW w:w="1038" w:type="dxa"/>
            <w:vMerge w:val="restart"/>
            <w:tcBorders>
              <w:top w:val="single" w:color="000000" w:sz="4" w:space="0"/>
              <w:left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非手术为主专业</w:t>
            </w: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门诊工作量（有病房）</w:t>
            </w:r>
          </w:p>
        </w:tc>
        <w:tc>
          <w:tcPr>
            <w:tcW w:w="975"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r>
              <w:rPr>
                <w:rFonts w:ascii="LinTimes" w:hAnsi="LinTimes" w:eastAsia="仿宋_GB2312" w:cs="LinTimes"/>
                <w:sz w:val="28"/>
                <w:szCs w:val="28"/>
              </w:rPr>
              <w:t>单元</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400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600</w:t>
            </w:r>
          </w:p>
        </w:tc>
        <w:tc>
          <w:tcPr>
            <w:tcW w:w="6083" w:type="dxa"/>
            <w:vMerge w:val="restart"/>
            <w:tcBorders>
              <w:top w:val="single" w:color="000000" w:sz="4" w:space="0"/>
              <w:left w:val="single" w:color="000000" w:sz="4" w:space="0"/>
              <w:right w:val="single" w:color="000000" w:sz="4" w:space="0"/>
            </w:tcBorders>
            <w:vAlign w:val="center"/>
          </w:tcPr>
          <w:p>
            <w:pPr>
              <w:rPr>
                <w:rFonts w:ascii="LinTimes" w:hAnsi="LinTimes" w:eastAsia="仿宋_GB2312" w:cs="LinTimes"/>
                <w:sz w:val="28"/>
                <w:szCs w:val="28"/>
              </w:rPr>
            </w:pPr>
            <w:r>
              <w:rPr>
                <w:rFonts w:ascii="LinTimes" w:hAnsi="LinTimes" w:eastAsia="仿宋_GB2312" w:cs="LinTimes"/>
                <w:sz w:val="28"/>
                <w:szCs w:val="28"/>
              </w:rPr>
              <w:t>由各医院自行确定手术专业和非手术专业</w:t>
            </w:r>
          </w:p>
        </w:tc>
      </w:tr>
      <w:tr>
        <w:tblPrEx>
          <w:tblCellMar>
            <w:top w:w="15" w:type="dxa"/>
            <w:left w:w="15" w:type="dxa"/>
            <w:bottom w:w="15" w:type="dxa"/>
            <w:right w:w="15" w:type="dxa"/>
          </w:tblCellMar>
        </w:tblPrEx>
        <w:trPr>
          <w:trHeight w:val="624" w:hRule="atLeast"/>
          <w:jc w:val="center"/>
        </w:trPr>
        <w:tc>
          <w:tcPr>
            <w:tcW w:w="750" w:type="dxa"/>
            <w:vMerge w:val="continue"/>
            <w:tcBorders>
              <w:left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p>
        </w:tc>
        <w:tc>
          <w:tcPr>
            <w:tcW w:w="1038" w:type="dxa"/>
            <w:vMerge w:val="continue"/>
            <w:tcBorders>
              <w:left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8"/>
                <w:szCs w:val="28"/>
                <w:lang w:bidi="ar"/>
              </w:rPr>
            </w:pP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出院人数</w:t>
            </w:r>
          </w:p>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spacing w:val="-23"/>
                <w:kern w:val="0"/>
                <w:sz w:val="26"/>
                <w:szCs w:val="26"/>
                <w:lang w:bidi="ar"/>
              </w:rPr>
              <w:t>（参与或作为治疗组长）</w:t>
            </w:r>
          </w:p>
        </w:tc>
        <w:tc>
          <w:tcPr>
            <w:tcW w:w="975"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r>
              <w:rPr>
                <w:rFonts w:ascii="LinTimes" w:hAnsi="LinTimes" w:eastAsia="仿宋_GB2312" w:cs="LinTimes"/>
                <w:sz w:val="28"/>
                <w:szCs w:val="28"/>
              </w:rPr>
              <w:t>人次</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600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900</w:t>
            </w:r>
          </w:p>
        </w:tc>
        <w:tc>
          <w:tcPr>
            <w:tcW w:w="6083" w:type="dxa"/>
            <w:vMerge w:val="continue"/>
            <w:tcBorders>
              <w:left w:val="single" w:color="000000" w:sz="4" w:space="0"/>
              <w:right w:val="single" w:color="000000" w:sz="4" w:space="0"/>
            </w:tcBorders>
            <w:vAlign w:val="center"/>
          </w:tcPr>
          <w:p>
            <w:pPr>
              <w:jc w:val="center"/>
              <w:rPr>
                <w:rFonts w:ascii="LinTimes" w:hAnsi="LinTimes" w:eastAsia="仿宋_GB2312" w:cs="LinTimes"/>
                <w:sz w:val="28"/>
                <w:szCs w:val="28"/>
              </w:rPr>
            </w:pPr>
          </w:p>
        </w:tc>
      </w:tr>
      <w:tr>
        <w:tblPrEx>
          <w:tblCellMar>
            <w:top w:w="15" w:type="dxa"/>
            <w:left w:w="15" w:type="dxa"/>
            <w:bottom w:w="15" w:type="dxa"/>
            <w:right w:w="15" w:type="dxa"/>
          </w:tblCellMar>
        </w:tblPrEx>
        <w:trPr>
          <w:trHeight w:val="624" w:hRule="atLeast"/>
          <w:jc w:val="center"/>
        </w:trPr>
        <w:tc>
          <w:tcPr>
            <w:tcW w:w="750" w:type="dxa"/>
            <w:vMerge w:val="continue"/>
            <w:tcBorders>
              <w:left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p>
        </w:tc>
        <w:tc>
          <w:tcPr>
            <w:tcW w:w="1038" w:type="dxa"/>
            <w:vMerge w:val="continue"/>
            <w:tcBorders>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8"/>
                <w:szCs w:val="28"/>
                <w:lang w:bidi="ar"/>
              </w:rPr>
            </w:pP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门诊工作量（无病房）</w:t>
            </w:r>
          </w:p>
        </w:tc>
        <w:tc>
          <w:tcPr>
            <w:tcW w:w="975"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r>
              <w:rPr>
                <w:rFonts w:ascii="LinTimes" w:hAnsi="LinTimes" w:eastAsia="仿宋_GB2312" w:cs="LinTimes"/>
                <w:sz w:val="28"/>
                <w:szCs w:val="28"/>
              </w:rPr>
              <w:t>单元</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500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800</w:t>
            </w:r>
          </w:p>
        </w:tc>
        <w:tc>
          <w:tcPr>
            <w:tcW w:w="6083" w:type="dxa"/>
            <w:vMerge w:val="continue"/>
            <w:tcBorders>
              <w:left w:val="single" w:color="000000" w:sz="4" w:space="0"/>
              <w:right w:val="single" w:color="000000" w:sz="4" w:space="0"/>
            </w:tcBorders>
            <w:vAlign w:val="center"/>
          </w:tcPr>
          <w:p>
            <w:pPr>
              <w:jc w:val="center"/>
              <w:rPr>
                <w:rFonts w:ascii="LinTimes" w:hAnsi="LinTimes" w:eastAsia="仿宋_GB2312" w:cs="LinTimes"/>
                <w:sz w:val="28"/>
                <w:szCs w:val="28"/>
              </w:rPr>
            </w:pPr>
          </w:p>
        </w:tc>
      </w:tr>
      <w:tr>
        <w:tblPrEx>
          <w:tblCellMar>
            <w:top w:w="15" w:type="dxa"/>
            <w:left w:w="15" w:type="dxa"/>
            <w:bottom w:w="15" w:type="dxa"/>
            <w:right w:w="15" w:type="dxa"/>
          </w:tblCellMar>
        </w:tblPrEx>
        <w:trPr>
          <w:trHeight w:val="624" w:hRule="atLeast"/>
          <w:jc w:val="center"/>
        </w:trPr>
        <w:tc>
          <w:tcPr>
            <w:tcW w:w="750" w:type="dxa"/>
            <w:vMerge w:val="continue"/>
            <w:tcBorders>
              <w:left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p>
        </w:tc>
        <w:tc>
          <w:tcPr>
            <w:tcW w:w="1038" w:type="dxa"/>
            <w:vMerge w:val="restart"/>
            <w:tcBorders>
              <w:top w:val="single" w:color="000000" w:sz="4" w:space="0"/>
              <w:left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手术为主专业</w:t>
            </w: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门诊工作量（有病房）</w:t>
            </w:r>
          </w:p>
        </w:tc>
        <w:tc>
          <w:tcPr>
            <w:tcW w:w="975"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r>
              <w:rPr>
                <w:rFonts w:ascii="LinTimes" w:hAnsi="LinTimes" w:eastAsia="仿宋_GB2312" w:cs="LinTimes"/>
                <w:sz w:val="28"/>
                <w:szCs w:val="28"/>
              </w:rPr>
              <w:t>单元</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300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400</w:t>
            </w:r>
          </w:p>
        </w:tc>
        <w:tc>
          <w:tcPr>
            <w:tcW w:w="6083" w:type="dxa"/>
            <w:vMerge w:val="continue"/>
            <w:tcBorders>
              <w:left w:val="single" w:color="000000" w:sz="4" w:space="0"/>
              <w:right w:val="single" w:color="000000" w:sz="4" w:space="0"/>
            </w:tcBorders>
            <w:vAlign w:val="center"/>
          </w:tcPr>
          <w:p>
            <w:pPr>
              <w:jc w:val="center"/>
              <w:rPr>
                <w:rFonts w:ascii="LinTimes" w:hAnsi="LinTimes" w:eastAsia="仿宋_GB2312" w:cs="LinTimes"/>
                <w:sz w:val="28"/>
                <w:szCs w:val="28"/>
              </w:rPr>
            </w:pPr>
          </w:p>
        </w:tc>
      </w:tr>
      <w:tr>
        <w:tblPrEx>
          <w:tblCellMar>
            <w:top w:w="15" w:type="dxa"/>
            <w:left w:w="15" w:type="dxa"/>
            <w:bottom w:w="15" w:type="dxa"/>
            <w:right w:w="15" w:type="dxa"/>
          </w:tblCellMar>
        </w:tblPrEx>
        <w:trPr>
          <w:trHeight w:val="624" w:hRule="atLeast"/>
          <w:jc w:val="center"/>
        </w:trPr>
        <w:tc>
          <w:tcPr>
            <w:tcW w:w="750" w:type="dxa"/>
            <w:vMerge w:val="continue"/>
            <w:tcBorders>
              <w:left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p>
        </w:tc>
        <w:tc>
          <w:tcPr>
            <w:tcW w:w="1038" w:type="dxa"/>
            <w:vMerge w:val="continue"/>
            <w:tcBorders>
              <w:left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8"/>
                <w:szCs w:val="28"/>
                <w:lang w:bidi="ar"/>
              </w:rPr>
            </w:pP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出院人数</w:t>
            </w:r>
          </w:p>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spacing w:val="-23"/>
                <w:kern w:val="0"/>
                <w:sz w:val="26"/>
                <w:szCs w:val="26"/>
                <w:lang w:bidi="ar"/>
              </w:rPr>
              <w:t>（参与或作为治疗组长）</w:t>
            </w:r>
          </w:p>
        </w:tc>
        <w:tc>
          <w:tcPr>
            <w:tcW w:w="975"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r>
              <w:rPr>
                <w:rFonts w:ascii="LinTimes" w:hAnsi="LinTimes" w:eastAsia="仿宋_GB2312" w:cs="LinTimes"/>
                <w:sz w:val="28"/>
                <w:szCs w:val="28"/>
              </w:rPr>
              <w:t>人次</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400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500</w:t>
            </w:r>
          </w:p>
        </w:tc>
        <w:tc>
          <w:tcPr>
            <w:tcW w:w="6083" w:type="dxa"/>
            <w:vMerge w:val="continue"/>
            <w:tcBorders>
              <w:left w:val="single" w:color="000000" w:sz="4" w:space="0"/>
              <w:right w:val="single" w:color="000000" w:sz="4" w:space="0"/>
            </w:tcBorders>
            <w:vAlign w:val="center"/>
          </w:tcPr>
          <w:p>
            <w:pPr>
              <w:jc w:val="center"/>
              <w:rPr>
                <w:rFonts w:ascii="LinTimes" w:hAnsi="LinTimes" w:eastAsia="仿宋_GB2312" w:cs="LinTimes"/>
                <w:sz w:val="28"/>
                <w:szCs w:val="28"/>
              </w:rPr>
            </w:pPr>
          </w:p>
        </w:tc>
      </w:tr>
      <w:tr>
        <w:tblPrEx>
          <w:tblCellMar>
            <w:top w:w="15" w:type="dxa"/>
            <w:left w:w="15" w:type="dxa"/>
            <w:bottom w:w="15" w:type="dxa"/>
            <w:right w:w="15" w:type="dxa"/>
          </w:tblCellMar>
        </w:tblPrEx>
        <w:trPr>
          <w:trHeight w:val="90" w:hRule="atLeast"/>
          <w:jc w:val="center"/>
        </w:trPr>
        <w:tc>
          <w:tcPr>
            <w:tcW w:w="750" w:type="dxa"/>
            <w:vMerge w:val="continue"/>
            <w:tcBorders>
              <w:left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p>
        </w:tc>
        <w:tc>
          <w:tcPr>
            <w:tcW w:w="1038" w:type="dxa"/>
            <w:vMerge w:val="continue"/>
            <w:tcBorders>
              <w:left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8"/>
                <w:szCs w:val="28"/>
                <w:lang w:bidi="ar"/>
              </w:rPr>
            </w:pP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出院患者手术</w:t>
            </w:r>
          </w:p>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/操作人次</w:t>
            </w:r>
          </w:p>
        </w:tc>
        <w:tc>
          <w:tcPr>
            <w:tcW w:w="975"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r>
              <w:rPr>
                <w:rFonts w:ascii="LinTimes" w:hAnsi="LinTimes" w:eastAsia="仿宋_GB2312" w:cs="LinTimes"/>
                <w:sz w:val="28"/>
                <w:szCs w:val="28"/>
              </w:rPr>
              <w:t>人次</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300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400</w:t>
            </w:r>
          </w:p>
        </w:tc>
        <w:tc>
          <w:tcPr>
            <w:tcW w:w="6083" w:type="dxa"/>
            <w:vMerge w:val="continue"/>
            <w:tcBorders>
              <w:left w:val="single" w:color="000000" w:sz="4" w:space="0"/>
              <w:right w:val="single" w:color="000000" w:sz="4" w:space="0"/>
            </w:tcBorders>
            <w:vAlign w:val="center"/>
          </w:tcPr>
          <w:p>
            <w:pPr>
              <w:jc w:val="center"/>
              <w:rPr>
                <w:rFonts w:ascii="LinTimes" w:hAnsi="LinTimes" w:eastAsia="仿宋_GB2312" w:cs="LinTimes"/>
                <w:sz w:val="28"/>
                <w:szCs w:val="28"/>
              </w:rPr>
            </w:pPr>
          </w:p>
        </w:tc>
      </w:tr>
      <w:tr>
        <w:tblPrEx>
          <w:tblCellMar>
            <w:top w:w="15" w:type="dxa"/>
            <w:left w:w="15" w:type="dxa"/>
            <w:bottom w:w="15" w:type="dxa"/>
            <w:right w:w="15" w:type="dxa"/>
          </w:tblCellMar>
        </w:tblPrEx>
        <w:trPr>
          <w:trHeight w:val="624" w:hRule="atLeast"/>
          <w:jc w:val="center"/>
        </w:trPr>
        <w:tc>
          <w:tcPr>
            <w:tcW w:w="750"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p>
        </w:tc>
        <w:tc>
          <w:tcPr>
            <w:tcW w:w="1038" w:type="dxa"/>
            <w:vMerge w:val="continue"/>
            <w:tcBorders>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8"/>
                <w:szCs w:val="28"/>
                <w:lang w:bidi="ar"/>
              </w:rPr>
            </w:pP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门诊工作量（无病房）</w:t>
            </w:r>
          </w:p>
        </w:tc>
        <w:tc>
          <w:tcPr>
            <w:tcW w:w="975"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r>
              <w:rPr>
                <w:rFonts w:ascii="LinTimes" w:hAnsi="LinTimes" w:eastAsia="仿宋_GB2312" w:cs="LinTimes"/>
                <w:sz w:val="28"/>
                <w:szCs w:val="28"/>
              </w:rPr>
              <w:t>单元</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500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kern w:val="0"/>
                <w:sz w:val="28"/>
                <w:szCs w:val="28"/>
                <w:lang w:bidi="ar"/>
              </w:rPr>
            </w:pPr>
            <w:r>
              <w:rPr>
                <w:rFonts w:ascii="LinTimes" w:hAnsi="LinTimes" w:eastAsia="仿宋_GB2312" w:cs="LinTimes"/>
                <w:kern w:val="0"/>
                <w:sz w:val="28"/>
                <w:szCs w:val="28"/>
                <w:lang w:bidi="ar"/>
              </w:rPr>
              <w:t>800</w:t>
            </w:r>
          </w:p>
        </w:tc>
        <w:tc>
          <w:tcPr>
            <w:tcW w:w="6083" w:type="dxa"/>
            <w:vMerge w:val="continue"/>
            <w:tcBorders>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r>
      <w:tr>
        <w:tblPrEx>
          <w:tblCellMar>
            <w:top w:w="15" w:type="dxa"/>
            <w:left w:w="15" w:type="dxa"/>
            <w:bottom w:w="15" w:type="dxa"/>
            <w:right w:w="15" w:type="dxa"/>
          </w:tblCellMar>
        </w:tblPrEx>
        <w:trPr>
          <w:trHeight w:val="624" w:hRule="atLeast"/>
          <w:jc w:val="center"/>
        </w:trPr>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口腔</w:t>
            </w:r>
          </w:p>
        </w:tc>
        <w:tc>
          <w:tcPr>
            <w:tcW w:w="103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无病房科室</w:t>
            </w: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6"/>
                <w:szCs w:val="26"/>
              </w:rPr>
            </w:pPr>
            <w:r>
              <w:rPr>
                <w:rFonts w:ascii="LinTimes" w:hAnsi="LinTimes" w:eastAsia="仿宋_GB2312" w:cs="LinTimes"/>
                <w:kern w:val="0"/>
                <w:sz w:val="26"/>
                <w:szCs w:val="26"/>
                <w:lang w:bidi="ar"/>
              </w:rPr>
              <w:t>门诊工作量</w:t>
            </w:r>
          </w:p>
        </w:tc>
        <w:tc>
          <w:tcPr>
            <w:tcW w:w="975"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r>
              <w:rPr>
                <w:rFonts w:ascii="LinTimes" w:hAnsi="LinTimes" w:eastAsia="仿宋_GB2312" w:cs="LinTimes"/>
                <w:sz w:val="28"/>
                <w:szCs w:val="28"/>
              </w:rPr>
              <w:t>单元</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800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800</w:t>
            </w:r>
          </w:p>
        </w:tc>
        <w:tc>
          <w:tcPr>
            <w:tcW w:w="6083"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r>
      <w:tr>
        <w:tblPrEx>
          <w:tblCellMar>
            <w:top w:w="15" w:type="dxa"/>
            <w:left w:w="15" w:type="dxa"/>
            <w:bottom w:w="15" w:type="dxa"/>
            <w:right w:w="15" w:type="dxa"/>
          </w:tblCellMar>
        </w:tblPrEx>
        <w:trPr>
          <w:trHeight w:val="734" w:hRule="exact"/>
          <w:jc w:val="center"/>
        </w:trPr>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c>
          <w:tcPr>
            <w:tcW w:w="103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LinTimes" w:hAnsi="LinTimes" w:eastAsia="仿宋_GB2312" w:cs="LinTimes"/>
                <w:sz w:val="28"/>
                <w:szCs w:val="28"/>
              </w:rPr>
            </w:pP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6"/>
                <w:szCs w:val="26"/>
              </w:rPr>
            </w:pPr>
            <w:r>
              <w:rPr>
                <w:rFonts w:ascii="LinTimes" w:hAnsi="LinTimes" w:eastAsia="仿宋_GB2312" w:cs="LinTimes"/>
                <w:kern w:val="0"/>
                <w:sz w:val="26"/>
                <w:szCs w:val="26"/>
                <w:lang w:bidi="ar"/>
              </w:rPr>
              <w:t>诊疗人次</w:t>
            </w:r>
          </w:p>
        </w:tc>
        <w:tc>
          <w:tcPr>
            <w:tcW w:w="975"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r>
              <w:rPr>
                <w:rFonts w:ascii="LinTimes" w:hAnsi="LinTimes" w:eastAsia="仿宋_GB2312" w:cs="LinTimes"/>
                <w:sz w:val="28"/>
                <w:szCs w:val="28"/>
              </w:rPr>
              <w:t>人次</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3000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4000</w:t>
            </w:r>
          </w:p>
        </w:tc>
        <w:tc>
          <w:tcPr>
            <w:tcW w:w="6083"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r>
      <w:tr>
        <w:tblPrEx>
          <w:tblCellMar>
            <w:top w:w="15" w:type="dxa"/>
            <w:left w:w="15" w:type="dxa"/>
            <w:bottom w:w="15" w:type="dxa"/>
            <w:right w:w="15" w:type="dxa"/>
          </w:tblCellMar>
        </w:tblPrEx>
        <w:trPr>
          <w:trHeight w:val="624"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c>
          <w:tcPr>
            <w:tcW w:w="103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有病房科室</w:t>
            </w: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sz w:val="26"/>
                <w:szCs w:val="26"/>
              </w:rPr>
            </w:pPr>
            <w:r>
              <w:rPr>
                <w:rFonts w:ascii="LinTimes" w:hAnsi="LinTimes" w:eastAsia="仿宋_GB2312" w:cs="LinTimes"/>
                <w:kern w:val="0"/>
                <w:sz w:val="26"/>
                <w:szCs w:val="26"/>
                <w:lang w:bidi="ar"/>
              </w:rPr>
              <w:t>门诊工作量</w:t>
            </w:r>
          </w:p>
        </w:tc>
        <w:tc>
          <w:tcPr>
            <w:tcW w:w="975"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r>
              <w:rPr>
                <w:rFonts w:ascii="LinTimes" w:hAnsi="LinTimes" w:eastAsia="仿宋_GB2312" w:cs="LinTimes"/>
                <w:sz w:val="28"/>
                <w:szCs w:val="28"/>
              </w:rPr>
              <w:t>单元</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400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500</w:t>
            </w:r>
          </w:p>
        </w:tc>
        <w:tc>
          <w:tcPr>
            <w:tcW w:w="6083"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r>
      <w:tr>
        <w:tblPrEx>
          <w:tblCellMar>
            <w:top w:w="15" w:type="dxa"/>
            <w:left w:w="15" w:type="dxa"/>
            <w:bottom w:w="15" w:type="dxa"/>
            <w:right w:w="15" w:type="dxa"/>
          </w:tblCellMar>
        </w:tblPrEx>
        <w:trPr>
          <w:trHeight w:val="918" w:hRule="exact"/>
          <w:jc w:val="center"/>
        </w:trPr>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c>
          <w:tcPr>
            <w:tcW w:w="103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LinTimes" w:hAnsi="LinTimes" w:eastAsia="仿宋_GB2312" w:cs="LinTimes"/>
                <w:sz w:val="28"/>
                <w:szCs w:val="28"/>
              </w:rPr>
            </w:pP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出院人数</w:t>
            </w:r>
          </w:p>
          <w:p>
            <w:pPr>
              <w:widowControl/>
              <w:spacing w:line="400" w:lineRule="exact"/>
              <w:jc w:val="center"/>
              <w:textAlignment w:val="center"/>
              <w:rPr>
                <w:rFonts w:ascii="LinTimes" w:hAnsi="LinTimes" w:eastAsia="仿宋_GB2312" w:cs="LinTimes"/>
                <w:sz w:val="26"/>
                <w:szCs w:val="26"/>
              </w:rPr>
            </w:pPr>
            <w:r>
              <w:rPr>
                <w:rFonts w:ascii="LinTimes" w:hAnsi="LinTimes" w:eastAsia="仿宋_GB2312" w:cs="LinTimes"/>
                <w:spacing w:val="-23"/>
                <w:kern w:val="0"/>
                <w:sz w:val="26"/>
                <w:szCs w:val="26"/>
                <w:lang w:bidi="ar"/>
              </w:rPr>
              <w:t>（参与或作为治疗组组长）</w:t>
            </w:r>
          </w:p>
        </w:tc>
        <w:tc>
          <w:tcPr>
            <w:tcW w:w="975"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r>
              <w:rPr>
                <w:rFonts w:ascii="LinTimes" w:hAnsi="LinTimes" w:eastAsia="仿宋_GB2312" w:cs="LinTimes"/>
                <w:sz w:val="28"/>
                <w:szCs w:val="28"/>
              </w:rPr>
              <w:t>人次</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350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500</w:t>
            </w:r>
          </w:p>
        </w:tc>
        <w:tc>
          <w:tcPr>
            <w:tcW w:w="6083"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r>
      <w:tr>
        <w:tblPrEx>
          <w:tblCellMar>
            <w:top w:w="15" w:type="dxa"/>
            <w:left w:w="15" w:type="dxa"/>
            <w:bottom w:w="15" w:type="dxa"/>
            <w:right w:w="15" w:type="dxa"/>
          </w:tblCellMar>
        </w:tblPrEx>
        <w:trPr>
          <w:trHeight w:val="863" w:hRule="exact"/>
          <w:jc w:val="center"/>
        </w:trPr>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c>
          <w:tcPr>
            <w:tcW w:w="103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LinTimes" w:hAnsi="LinTimes" w:eastAsia="仿宋_GB2312" w:cs="LinTimes"/>
                <w:sz w:val="28"/>
                <w:szCs w:val="28"/>
              </w:rPr>
            </w:pP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LinTimes" w:hAnsi="LinTimes" w:eastAsia="仿宋_GB2312" w:cs="LinTimes"/>
                <w:kern w:val="0"/>
                <w:sz w:val="26"/>
                <w:szCs w:val="26"/>
                <w:lang w:bidi="ar"/>
              </w:rPr>
            </w:pPr>
            <w:r>
              <w:rPr>
                <w:rFonts w:ascii="LinTimes" w:hAnsi="LinTimes" w:eastAsia="仿宋_GB2312" w:cs="LinTimes"/>
                <w:kern w:val="0"/>
                <w:sz w:val="26"/>
                <w:szCs w:val="26"/>
                <w:lang w:bidi="ar"/>
              </w:rPr>
              <w:t>出院患者手术</w:t>
            </w:r>
          </w:p>
          <w:p>
            <w:pPr>
              <w:widowControl/>
              <w:spacing w:line="400" w:lineRule="exact"/>
              <w:jc w:val="center"/>
              <w:textAlignment w:val="center"/>
              <w:rPr>
                <w:rFonts w:ascii="LinTimes" w:hAnsi="LinTimes" w:eastAsia="仿宋_GB2312" w:cs="LinTimes"/>
                <w:sz w:val="26"/>
                <w:szCs w:val="26"/>
              </w:rPr>
            </w:pPr>
            <w:r>
              <w:rPr>
                <w:rFonts w:ascii="LinTimes" w:hAnsi="LinTimes" w:eastAsia="仿宋_GB2312" w:cs="LinTimes"/>
                <w:kern w:val="0"/>
                <w:sz w:val="26"/>
                <w:szCs w:val="26"/>
                <w:lang w:bidi="ar"/>
              </w:rPr>
              <w:t>/操作人次数</w:t>
            </w:r>
          </w:p>
        </w:tc>
        <w:tc>
          <w:tcPr>
            <w:tcW w:w="975"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r>
              <w:rPr>
                <w:rFonts w:ascii="LinTimes" w:hAnsi="LinTimes" w:eastAsia="仿宋_GB2312" w:cs="LinTimes"/>
                <w:sz w:val="28"/>
                <w:szCs w:val="28"/>
              </w:rPr>
              <w:t>人次</w:t>
            </w: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300</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400</w:t>
            </w:r>
          </w:p>
        </w:tc>
        <w:tc>
          <w:tcPr>
            <w:tcW w:w="6083"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r>
      <w:tr>
        <w:tblPrEx>
          <w:tblCellMar>
            <w:top w:w="15" w:type="dxa"/>
            <w:left w:w="15" w:type="dxa"/>
            <w:bottom w:w="15" w:type="dxa"/>
            <w:right w:w="15" w:type="dxa"/>
          </w:tblCellMar>
        </w:tblPrEx>
        <w:trPr>
          <w:trHeight w:val="2514" w:hRule="exac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公卫</w:t>
            </w:r>
          </w:p>
        </w:tc>
        <w:tc>
          <w:tcPr>
            <w:tcW w:w="10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8"/>
                <w:szCs w:val="28"/>
              </w:rPr>
            </w:pPr>
            <w:r>
              <w:rPr>
                <w:rFonts w:ascii="LinTimes" w:hAnsi="LinTimes" w:eastAsia="仿宋_GB2312" w:cs="LinTimes"/>
                <w:kern w:val="0"/>
                <w:sz w:val="28"/>
                <w:szCs w:val="28"/>
                <w:lang w:bidi="ar"/>
              </w:rPr>
              <w:t>——</w:t>
            </w:r>
          </w:p>
        </w:tc>
        <w:tc>
          <w:tcPr>
            <w:tcW w:w="26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LinTimes" w:hAnsi="LinTimes" w:eastAsia="仿宋_GB2312" w:cs="LinTimes"/>
                <w:sz w:val="26"/>
                <w:szCs w:val="26"/>
              </w:rPr>
            </w:pPr>
            <w:r>
              <w:rPr>
                <w:rFonts w:ascii="LinTimes" w:hAnsi="LinTimes" w:eastAsia="仿宋_GB2312" w:cs="LinTimes"/>
                <w:kern w:val="0"/>
                <w:sz w:val="26"/>
                <w:szCs w:val="26"/>
                <w:lang w:bidi="ar"/>
              </w:rPr>
              <w:t>——</w:t>
            </w:r>
          </w:p>
        </w:tc>
        <w:tc>
          <w:tcPr>
            <w:tcW w:w="975" w:type="dxa"/>
            <w:tcBorders>
              <w:top w:val="single" w:color="000000" w:sz="4" w:space="0"/>
              <w:left w:val="single" w:color="000000" w:sz="4" w:space="0"/>
              <w:bottom w:val="single" w:color="000000" w:sz="4" w:space="0"/>
              <w:right w:val="single" w:color="000000" w:sz="4" w:space="0"/>
            </w:tcBorders>
            <w:vAlign w:val="center"/>
          </w:tcPr>
          <w:p>
            <w:pPr>
              <w:jc w:val="center"/>
              <w:rPr>
                <w:rFonts w:ascii="LinTimes" w:hAnsi="LinTimes" w:eastAsia="仿宋_GB2312" w:cs="LinTimes"/>
                <w:sz w:val="28"/>
                <w:szCs w:val="28"/>
              </w:rPr>
            </w:pPr>
          </w:p>
        </w:tc>
        <w:tc>
          <w:tcPr>
            <w:tcW w:w="192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6"/>
                <w:szCs w:val="26"/>
              </w:rPr>
            </w:pPr>
            <w:r>
              <w:rPr>
                <w:rFonts w:ascii="LinTimes" w:hAnsi="LinTimes" w:eastAsia="仿宋_GB2312" w:cs="LinTimes"/>
                <w:kern w:val="0"/>
                <w:sz w:val="26"/>
                <w:szCs w:val="26"/>
                <w:lang w:bidi="ar"/>
              </w:rPr>
              <w:t>平均每年参加本专业工作时间不少于40周，其中现场工作或在基层工作天数不少于60天/年</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LinTimes" w:hAnsi="LinTimes" w:eastAsia="仿宋_GB2312" w:cs="LinTimes"/>
                <w:sz w:val="26"/>
                <w:szCs w:val="26"/>
              </w:rPr>
            </w:pPr>
            <w:r>
              <w:rPr>
                <w:rFonts w:ascii="LinTimes" w:hAnsi="LinTimes" w:eastAsia="仿宋_GB2312" w:cs="LinTimes"/>
                <w:kern w:val="0"/>
                <w:sz w:val="26"/>
                <w:szCs w:val="26"/>
                <w:lang w:bidi="ar"/>
              </w:rPr>
              <w:t>平均每年参加本专业工作时间不少于35周，其中现场工作或在基层工作天数不少于60天/年</w:t>
            </w:r>
          </w:p>
        </w:tc>
        <w:tc>
          <w:tcPr>
            <w:tcW w:w="6083"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LinTimes" w:hAnsi="LinTimes" w:eastAsia="仿宋_GB2312" w:cs="LinTimes"/>
                <w:sz w:val="28"/>
                <w:szCs w:val="28"/>
              </w:rPr>
            </w:pPr>
          </w:p>
        </w:tc>
      </w:tr>
    </w:tbl>
    <w:p>
      <w:pPr>
        <w:snapToGrid w:val="0"/>
        <w:spacing w:line="320" w:lineRule="exact"/>
        <w:rPr>
          <w:rFonts w:ascii="LinTimes" w:hAnsi="LinTimes" w:eastAsia="楷体" w:cs="LinTimes"/>
          <w:sz w:val="24"/>
        </w:rPr>
      </w:pPr>
      <w:r>
        <w:rPr>
          <w:rFonts w:ascii="LinTimes" w:hAnsi="LinTimes" w:eastAsia="楷体" w:cs="LinTimes"/>
          <w:sz w:val="24"/>
        </w:rPr>
        <w:t>注1：</w:t>
      </w:r>
      <w:r>
        <w:rPr>
          <w:rFonts w:hint="eastAsia" w:ascii="LinTimes" w:hAnsi="LinTimes" w:eastAsia="楷体" w:cs="LinTimes"/>
          <w:sz w:val="24"/>
        </w:rPr>
        <w:t>工作量指标是中级晋升副高、副高晋升正高期间的完成工作量，均从聘任时间开始计算。半天（4小时）接诊不少于15位为1个有效单元。</w:t>
      </w:r>
      <w:r>
        <w:rPr>
          <w:rFonts w:ascii="LinTimes" w:hAnsi="LinTimes" w:eastAsia="楷体" w:cs="LinTimes"/>
          <w:sz w:val="24"/>
        </w:rPr>
        <w:t>非急诊科医生在5年期间如轮转急诊科，工作期间按照4小时为一个门诊单元数计算。针灸、推拿（按摩）、刮痧、拔罐等中医治疗技术，因受手法操作时间限制，工作量按照4小时为一个门诊单元数计算，不考虑治疗病人数量。</w:t>
      </w:r>
    </w:p>
    <w:p>
      <w:pPr>
        <w:snapToGrid w:val="0"/>
        <w:spacing w:line="320" w:lineRule="exact"/>
        <w:rPr>
          <w:rFonts w:ascii="LinTimes" w:hAnsi="LinTimes" w:eastAsia="楷体" w:cs="LinTimes"/>
          <w:sz w:val="24"/>
        </w:rPr>
      </w:pPr>
      <w:r>
        <w:rPr>
          <w:rFonts w:ascii="LinTimes" w:hAnsi="LinTimes" w:eastAsia="楷体" w:cs="LinTimes"/>
          <w:sz w:val="24"/>
        </w:rPr>
        <w:t>注2：肾内科学专业透析工作按照4小时为一个门诊单元计算；传染病学专业医师门诊工作量包含发热门诊</w:t>
      </w:r>
      <w:r>
        <w:rPr>
          <w:rFonts w:hint="eastAsia" w:ascii="LinTimes" w:hAnsi="LinTimes" w:eastAsia="楷体" w:cs="LinTimes"/>
          <w:sz w:val="24"/>
        </w:rPr>
        <w:t>、</w:t>
      </w:r>
      <w:r>
        <w:rPr>
          <w:rFonts w:ascii="LinTimes" w:hAnsi="LinTimes" w:eastAsia="楷体" w:cs="LinTimes"/>
          <w:sz w:val="24"/>
        </w:rPr>
        <w:t>肠道门诊工作时间</w:t>
      </w:r>
      <w:r>
        <w:rPr>
          <w:rFonts w:hint="eastAsia" w:ascii="LinTimes" w:hAnsi="LinTimes" w:eastAsia="楷体" w:cs="LinTimes"/>
          <w:sz w:val="24"/>
        </w:rPr>
        <w:t>和会诊时间</w:t>
      </w:r>
      <w:r>
        <w:rPr>
          <w:rFonts w:ascii="LinTimes" w:hAnsi="LinTimes" w:eastAsia="楷体" w:cs="LinTimes"/>
          <w:sz w:val="24"/>
        </w:rPr>
        <w:t>，如无病房则放入无病房组。</w:t>
      </w:r>
    </w:p>
    <w:p>
      <w:pPr>
        <w:snapToGrid w:val="0"/>
        <w:spacing w:line="320" w:lineRule="exact"/>
        <w:rPr>
          <w:rFonts w:ascii="LinTimes" w:hAnsi="LinTimes" w:eastAsia="楷体" w:cs="LinTimes"/>
          <w:sz w:val="24"/>
        </w:rPr>
      </w:pPr>
      <w:r>
        <w:rPr>
          <w:rFonts w:ascii="LinTimes" w:hAnsi="LinTimes" w:eastAsia="楷体" w:cs="LinTimes"/>
          <w:sz w:val="24"/>
        </w:rPr>
        <w:t>注3：全科医学专业医师门诊工作量包含下基层指导工作时间，如无病房则放入无病房组。</w:t>
      </w:r>
    </w:p>
    <w:p>
      <w:pPr>
        <w:snapToGrid w:val="0"/>
        <w:spacing w:line="320" w:lineRule="exact"/>
        <w:rPr>
          <w:rFonts w:ascii="LinTimes" w:hAnsi="LinTimes" w:eastAsia="楷体" w:cs="LinTimes"/>
          <w:sz w:val="24"/>
        </w:rPr>
      </w:pPr>
      <w:r>
        <w:rPr>
          <w:rFonts w:ascii="LinTimes" w:hAnsi="LinTimes" w:eastAsia="楷体" w:cs="LinTimes"/>
          <w:sz w:val="24"/>
        </w:rPr>
        <w:t>注4：内镜诊疗5000人次（含内镜下治疗手术，晋升副主任医师至少500例，晋升主任医师至少800例，门诊患者和出院患者均包括）为消化内科学专业必备的申报条件之一。</w:t>
      </w:r>
    </w:p>
    <w:p>
      <w:pPr>
        <w:snapToGrid w:val="0"/>
        <w:spacing w:line="320" w:lineRule="exact"/>
        <w:rPr>
          <w:rFonts w:ascii="LinTimes" w:hAnsi="LinTimes" w:eastAsia="楷体" w:cs="LinTimes"/>
          <w:sz w:val="24"/>
        </w:rPr>
      </w:pPr>
      <w:r>
        <w:rPr>
          <w:rFonts w:ascii="LinTimes" w:hAnsi="LinTimes" w:eastAsia="楷体" w:cs="LinTimes"/>
          <w:sz w:val="24"/>
        </w:rPr>
        <w:t>注5：呼吸内镜诊疗200人次（含呼吸内镜下检查与治疗，门诊患者和出院患者均包括）为呼吸内科学专业必备的申报条件之一。</w:t>
      </w:r>
    </w:p>
    <w:p>
      <w:pPr>
        <w:snapToGrid w:val="0"/>
        <w:spacing w:line="320" w:lineRule="exact"/>
        <w:rPr>
          <w:rFonts w:ascii="LinTimes" w:hAnsi="LinTimes" w:eastAsia="楷体" w:cs="LinTimes"/>
          <w:sz w:val="24"/>
        </w:rPr>
      </w:pPr>
      <w:r>
        <w:rPr>
          <w:rFonts w:ascii="LinTimes" w:hAnsi="LinTimes" w:eastAsia="楷体" w:cs="LinTimes"/>
          <w:sz w:val="24"/>
        </w:rPr>
        <w:t>注6：心血管内科学和神经内科学及其他有介入治疗的专业可参照手术为主临床专业执行。</w:t>
      </w:r>
    </w:p>
    <w:p>
      <w:pPr>
        <w:snapToGrid w:val="0"/>
        <w:spacing w:line="320" w:lineRule="exact"/>
        <w:rPr>
          <w:rFonts w:ascii="LinTimes" w:hAnsi="LinTimes" w:eastAsia="楷体" w:cs="LinTimes"/>
          <w:sz w:val="24"/>
        </w:rPr>
      </w:pPr>
      <w:r>
        <w:rPr>
          <w:rFonts w:ascii="LinTimes" w:hAnsi="LinTimes" w:eastAsia="楷体" w:cs="LinTimes"/>
          <w:sz w:val="24"/>
        </w:rPr>
        <w:t>注7：整形外科学和计划生育学专业的工作量指标不含出院人数，其出院患者手术/操作人次数调整为手术/操作人次数（含门诊患者和出院患者手术/操作人次数）。</w:t>
      </w:r>
    </w:p>
    <w:p>
      <w:pPr>
        <w:snapToGrid w:val="0"/>
        <w:spacing w:line="320" w:lineRule="exact"/>
        <w:rPr>
          <w:rFonts w:ascii="LinTimes" w:hAnsi="LinTimes" w:eastAsia="楷体" w:cs="LinTimes"/>
          <w:sz w:val="24"/>
        </w:rPr>
      </w:pPr>
      <w:r>
        <w:rPr>
          <w:rFonts w:ascii="LinTimes" w:hAnsi="LinTimes" w:eastAsia="楷体" w:cs="LinTimes"/>
          <w:sz w:val="24"/>
        </w:rPr>
        <w:t>注8：出院患者手术/操作人次晋升副主任医师以主刀或一助计算；晋升主任医师以主刀计算。</w:t>
      </w:r>
    </w:p>
    <w:p>
      <w:pPr>
        <w:spacing w:line="320" w:lineRule="exact"/>
        <w:rPr>
          <w:rFonts w:eastAsia="方正仿宋_GBK"/>
          <w:sz w:val="32"/>
          <w:szCs w:val="32"/>
        </w:rPr>
        <w:sectPr>
          <w:pgSz w:w="16840" w:h="11907" w:orient="landscape"/>
          <w:pgMar w:top="1701" w:right="1701" w:bottom="1701" w:left="1701" w:header="851" w:footer="992" w:gutter="0"/>
          <w:pgNumType w:fmt="numberInDash"/>
          <w:cols w:space="0" w:num="1"/>
          <w:docGrid w:type="lines" w:linePitch="315" w:charSpace="0"/>
        </w:sectPr>
      </w:pPr>
      <w:r>
        <w:rPr>
          <w:rFonts w:ascii="LinTimes" w:hAnsi="LinTimes" w:eastAsia="楷体" w:cs="LinTimes"/>
          <w:sz w:val="24"/>
        </w:rPr>
        <w:t>注9：临床医学检验学专业中，形态、血液、微生物等亚专业申报条件为参与诊疗患者人次数，临检、生化、免疫等亚专业的申报条件为签发检查报告份数。</w:t>
      </w:r>
    </w:p>
    <w:p>
      <w:pPr>
        <w:rPr>
          <w:rFonts w:eastAsia="方正仿宋_GBK"/>
          <w:sz w:val="32"/>
          <w:szCs w:val="32"/>
        </w:rPr>
      </w:pPr>
      <w:r>
        <w:rPr>
          <w:rFonts w:hint="eastAsia" w:eastAsia="方正仿宋_GBK"/>
          <w:sz w:val="32"/>
          <w:szCs w:val="32"/>
        </w:rPr>
        <w:t>附表2：护师晋升高级职称工作量要求</w:t>
      </w:r>
    </w:p>
    <w:tbl>
      <w:tblPr>
        <w:tblStyle w:val="10"/>
        <w:tblW w:w="9884" w:type="dxa"/>
        <w:jc w:val="center"/>
        <w:tblLayout w:type="autofit"/>
        <w:tblCellMar>
          <w:top w:w="0" w:type="dxa"/>
          <w:left w:w="108" w:type="dxa"/>
          <w:bottom w:w="0" w:type="dxa"/>
          <w:right w:w="108" w:type="dxa"/>
        </w:tblCellMar>
      </w:tblPr>
      <w:tblGrid>
        <w:gridCol w:w="3864"/>
        <w:gridCol w:w="2910"/>
        <w:gridCol w:w="1316"/>
        <w:gridCol w:w="896"/>
        <w:gridCol w:w="898"/>
      </w:tblGrid>
      <w:tr>
        <w:tblPrEx>
          <w:tblCellMar>
            <w:top w:w="0" w:type="dxa"/>
            <w:left w:w="108" w:type="dxa"/>
            <w:bottom w:w="0" w:type="dxa"/>
            <w:right w:w="108" w:type="dxa"/>
          </w:tblCellMar>
        </w:tblPrEx>
        <w:trPr>
          <w:trHeight w:val="487" w:hRule="atLeast"/>
          <w:jc w:val="center"/>
        </w:trPr>
        <w:tc>
          <w:tcPr>
            <w:tcW w:w="9884" w:type="dxa"/>
            <w:gridSpan w:val="5"/>
            <w:tcBorders>
              <w:top w:val="nil"/>
              <w:left w:val="nil"/>
              <w:bottom w:val="nil"/>
              <w:right w:val="nil"/>
            </w:tcBorders>
            <w:shd w:val="clear" w:color="auto" w:fill="auto"/>
            <w:noWrap/>
            <w:vAlign w:val="center"/>
          </w:tcPr>
          <w:p>
            <w:pPr>
              <w:widowControl/>
              <w:jc w:val="center"/>
              <w:rPr>
                <w:rFonts w:ascii="宋体" w:hAnsi="宋体" w:cs="宋体"/>
                <w:b/>
                <w:bCs/>
                <w:kern w:val="0"/>
                <w:sz w:val="36"/>
                <w:szCs w:val="36"/>
              </w:rPr>
            </w:pPr>
            <w:r>
              <w:rPr>
                <w:rFonts w:hint="eastAsia" w:ascii="宋体" w:hAnsi="宋体" w:cs="宋体"/>
                <w:b/>
                <w:bCs/>
                <w:kern w:val="0"/>
                <w:sz w:val="36"/>
                <w:szCs w:val="36"/>
              </w:rPr>
              <w:t>护师晋升高级职称工作量要求</w:t>
            </w:r>
          </w:p>
        </w:tc>
      </w:tr>
      <w:tr>
        <w:tblPrEx>
          <w:tblCellMar>
            <w:top w:w="0" w:type="dxa"/>
            <w:left w:w="108" w:type="dxa"/>
            <w:bottom w:w="0" w:type="dxa"/>
            <w:right w:w="108" w:type="dxa"/>
          </w:tblCellMar>
        </w:tblPrEx>
        <w:trPr>
          <w:trHeight w:val="487" w:hRule="atLeast"/>
          <w:jc w:val="center"/>
        </w:trPr>
        <w:tc>
          <w:tcPr>
            <w:tcW w:w="38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岗位类别</w:t>
            </w:r>
          </w:p>
        </w:tc>
        <w:tc>
          <w:tcPr>
            <w:tcW w:w="29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护理工作量</w:t>
            </w:r>
          </w:p>
        </w:tc>
        <w:tc>
          <w:tcPr>
            <w:tcW w:w="13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单位</w:t>
            </w:r>
          </w:p>
        </w:tc>
        <w:tc>
          <w:tcPr>
            <w:tcW w:w="89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副高</w:t>
            </w:r>
          </w:p>
        </w:tc>
        <w:tc>
          <w:tcPr>
            <w:tcW w:w="89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正高</w:t>
            </w:r>
          </w:p>
        </w:tc>
      </w:tr>
      <w:tr>
        <w:tblPrEx>
          <w:tblCellMar>
            <w:top w:w="0" w:type="dxa"/>
            <w:left w:w="108" w:type="dxa"/>
            <w:bottom w:w="0" w:type="dxa"/>
            <w:right w:w="108" w:type="dxa"/>
          </w:tblCellMar>
        </w:tblPrEx>
        <w:trPr>
          <w:trHeight w:val="309" w:hRule="atLeast"/>
          <w:jc w:val="center"/>
        </w:trPr>
        <w:tc>
          <w:tcPr>
            <w:tcW w:w="386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普通病房</w:t>
            </w: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护理病人数★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例次</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480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240</w:t>
            </w:r>
          </w:p>
        </w:tc>
      </w:tr>
      <w:tr>
        <w:tblPrEx>
          <w:tblCellMar>
            <w:top w:w="0" w:type="dxa"/>
            <w:left w:w="108" w:type="dxa"/>
            <w:bottom w:w="0" w:type="dxa"/>
            <w:right w:w="108" w:type="dxa"/>
          </w:tblCellMar>
        </w:tblPrEx>
        <w:trPr>
          <w:trHeight w:val="617" w:hRule="atLeast"/>
          <w:jc w:val="center"/>
        </w:trPr>
        <w:tc>
          <w:tcPr>
            <w:tcW w:w="386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护理危重病人数（病重或病危）</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例次</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60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30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主持护理查房或护理会诊数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人次</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晚夜班数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班次数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150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100</w:t>
            </w:r>
          </w:p>
        </w:tc>
      </w:tr>
      <w:tr>
        <w:tblPrEx>
          <w:tblCellMar>
            <w:top w:w="0" w:type="dxa"/>
            <w:left w:w="108" w:type="dxa"/>
            <w:bottom w:w="0" w:type="dxa"/>
            <w:right w:w="108" w:type="dxa"/>
          </w:tblCellMar>
        </w:tblPrEx>
        <w:trPr>
          <w:trHeight w:val="617" w:hRule="atLeast"/>
          <w:jc w:val="center"/>
        </w:trPr>
        <w:tc>
          <w:tcPr>
            <w:tcW w:w="386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监护病房（或急诊室）</w:t>
            </w: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护理危重病人数★（参照病案首页责任护士算法）</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例数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480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240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有创呼吸机管理</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例次</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30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30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主持护理查房或护理会诊数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人次</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晚夜班数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班次数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150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100</w:t>
            </w:r>
          </w:p>
        </w:tc>
      </w:tr>
      <w:tr>
        <w:tblPrEx>
          <w:tblCellMar>
            <w:top w:w="0" w:type="dxa"/>
            <w:left w:w="108" w:type="dxa"/>
            <w:bottom w:w="0" w:type="dxa"/>
            <w:right w:w="108" w:type="dxa"/>
          </w:tblCellMar>
        </w:tblPrEx>
        <w:trPr>
          <w:trHeight w:val="309" w:hRule="atLeast"/>
          <w:jc w:val="center"/>
        </w:trPr>
        <w:tc>
          <w:tcPr>
            <w:tcW w:w="386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手术室</w:t>
            </w: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参与手术配合总数★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例数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2000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1000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参与三、四级手术配合数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例数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600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600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晚夜班数（含在院备班）</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班次数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150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100</w:t>
            </w:r>
          </w:p>
        </w:tc>
      </w:tr>
      <w:tr>
        <w:tblPrEx>
          <w:tblCellMar>
            <w:top w:w="0" w:type="dxa"/>
            <w:left w:w="108" w:type="dxa"/>
            <w:bottom w:w="0" w:type="dxa"/>
            <w:right w:w="108" w:type="dxa"/>
          </w:tblCellMar>
        </w:tblPrEx>
        <w:trPr>
          <w:trHeight w:val="309" w:hRule="atLeast"/>
          <w:jc w:val="center"/>
        </w:trPr>
        <w:tc>
          <w:tcPr>
            <w:tcW w:w="386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介入导管室</w:t>
            </w: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参与介入手术配合数★</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例数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1500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晚夜班数（含在院备班）</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班次数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w:t>
            </w:r>
          </w:p>
        </w:tc>
      </w:tr>
      <w:tr>
        <w:tblPrEx>
          <w:tblCellMar>
            <w:top w:w="0" w:type="dxa"/>
            <w:left w:w="108" w:type="dxa"/>
            <w:bottom w:w="0" w:type="dxa"/>
            <w:right w:w="108" w:type="dxa"/>
          </w:tblCellMar>
        </w:tblPrEx>
        <w:trPr>
          <w:trHeight w:val="309" w:hRule="atLeast"/>
          <w:jc w:val="center"/>
        </w:trPr>
        <w:tc>
          <w:tcPr>
            <w:tcW w:w="386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内镜</w:t>
            </w: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参与内镜检查与治疗数★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例数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4000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3000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晚夜班数（含在院备班）</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班次数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w:t>
            </w:r>
          </w:p>
        </w:tc>
      </w:tr>
      <w:tr>
        <w:tblPrEx>
          <w:tblCellMar>
            <w:top w:w="0" w:type="dxa"/>
            <w:left w:w="108" w:type="dxa"/>
            <w:bottom w:w="0" w:type="dxa"/>
            <w:right w:w="108" w:type="dxa"/>
          </w:tblCellMar>
        </w:tblPrEx>
        <w:trPr>
          <w:trHeight w:val="309" w:hRule="atLeast"/>
          <w:jc w:val="center"/>
        </w:trPr>
        <w:tc>
          <w:tcPr>
            <w:tcW w:w="3864" w:type="dxa"/>
            <w:vMerge w:val="restart"/>
            <w:tcBorders>
              <w:top w:val="nil"/>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血液净化室</w:t>
            </w: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血液透析操作及护理人数★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4000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3000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CRRT操作及护理人数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60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60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晚夜班数（含在院备班）</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班次数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w:t>
            </w:r>
          </w:p>
        </w:tc>
      </w:tr>
      <w:tr>
        <w:tblPrEx>
          <w:tblCellMar>
            <w:top w:w="0" w:type="dxa"/>
            <w:left w:w="108" w:type="dxa"/>
            <w:bottom w:w="0" w:type="dxa"/>
            <w:right w:w="108" w:type="dxa"/>
          </w:tblCellMar>
        </w:tblPrEx>
        <w:trPr>
          <w:trHeight w:val="309" w:hRule="atLeast"/>
          <w:jc w:val="center"/>
        </w:trPr>
        <w:tc>
          <w:tcPr>
            <w:tcW w:w="3864"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产房</w:t>
            </w: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接产数★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例次</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300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150</w:t>
            </w:r>
          </w:p>
        </w:tc>
      </w:tr>
      <w:tr>
        <w:tblPrEx>
          <w:tblCellMar>
            <w:top w:w="0" w:type="dxa"/>
            <w:left w:w="108" w:type="dxa"/>
            <w:bottom w:w="0" w:type="dxa"/>
            <w:right w:w="108" w:type="dxa"/>
          </w:tblCellMar>
        </w:tblPrEx>
        <w:trPr>
          <w:trHeight w:val="309" w:hRule="atLeast"/>
          <w:jc w:val="center"/>
        </w:trPr>
        <w:tc>
          <w:tcPr>
            <w:tcW w:w="386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护理危重病人数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例次</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w:t>
            </w:r>
          </w:p>
        </w:tc>
      </w:tr>
      <w:tr>
        <w:tblPrEx>
          <w:tblCellMar>
            <w:top w:w="0" w:type="dxa"/>
            <w:left w:w="108" w:type="dxa"/>
            <w:bottom w:w="0" w:type="dxa"/>
            <w:right w:w="108" w:type="dxa"/>
          </w:tblCellMar>
        </w:tblPrEx>
        <w:trPr>
          <w:trHeight w:val="309" w:hRule="atLeast"/>
          <w:jc w:val="center"/>
        </w:trPr>
        <w:tc>
          <w:tcPr>
            <w:tcW w:w="386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晚夜班数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班次数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150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100</w:t>
            </w:r>
          </w:p>
        </w:tc>
      </w:tr>
      <w:tr>
        <w:tblPrEx>
          <w:tblCellMar>
            <w:top w:w="0" w:type="dxa"/>
            <w:left w:w="108" w:type="dxa"/>
            <w:bottom w:w="0" w:type="dxa"/>
            <w:right w:w="108" w:type="dxa"/>
          </w:tblCellMar>
        </w:tblPrEx>
        <w:trPr>
          <w:trHeight w:val="926" w:hRule="atLeast"/>
          <w:jc w:val="center"/>
        </w:trPr>
        <w:tc>
          <w:tcPr>
            <w:tcW w:w="3864" w:type="dxa"/>
            <w:tcBorders>
              <w:top w:val="nil"/>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门诊专科护理操作累计量</w:t>
            </w: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护理技术操作数（PICC置管、PICC维护；伤口、造口护理等）★</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3000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2000</w:t>
            </w:r>
          </w:p>
        </w:tc>
      </w:tr>
      <w:tr>
        <w:tblPrEx>
          <w:tblCellMar>
            <w:top w:w="0" w:type="dxa"/>
            <w:left w:w="108" w:type="dxa"/>
            <w:bottom w:w="0" w:type="dxa"/>
            <w:right w:w="108" w:type="dxa"/>
          </w:tblCellMar>
        </w:tblPrEx>
        <w:trPr>
          <w:trHeight w:val="309" w:hRule="atLeast"/>
          <w:jc w:val="center"/>
        </w:trPr>
        <w:tc>
          <w:tcPr>
            <w:tcW w:w="3864"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腹膜透析</w:t>
            </w: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腹透操作及护理人数★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1000</w:t>
            </w:r>
          </w:p>
        </w:tc>
      </w:tr>
      <w:tr>
        <w:tblPrEx>
          <w:tblCellMar>
            <w:top w:w="0" w:type="dxa"/>
            <w:left w:w="108" w:type="dxa"/>
            <w:bottom w:w="0" w:type="dxa"/>
            <w:right w:w="108" w:type="dxa"/>
          </w:tblCellMar>
        </w:tblPrEx>
        <w:trPr>
          <w:trHeight w:val="926" w:hRule="atLeast"/>
          <w:jc w:val="center"/>
        </w:trPr>
        <w:tc>
          <w:tcPr>
            <w:tcW w:w="3864"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供应室</w:t>
            </w: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软硬式内镜、精密器械包处理数（分类、清洗、质量检查、包装、灭菌）★</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件数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6000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6000</w:t>
            </w:r>
          </w:p>
        </w:tc>
      </w:tr>
      <w:tr>
        <w:tblPrEx>
          <w:tblCellMar>
            <w:top w:w="0" w:type="dxa"/>
            <w:left w:w="108" w:type="dxa"/>
            <w:bottom w:w="0" w:type="dxa"/>
            <w:right w:w="108" w:type="dxa"/>
          </w:tblCellMar>
        </w:tblPrEx>
        <w:trPr>
          <w:trHeight w:val="309" w:hRule="atLeast"/>
          <w:jc w:val="center"/>
        </w:trPr>
        <w:tc>
          <w:tcPr>
            <w:tcW w:w="386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晚夜班数（含在院备班）</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班次数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w:t>
            </w:r>
          </w:p>
        </w:tc>
      </w:tr>
      <w:tr>
        <w:tblPrEx>
          <w:tblCellMar>
            <w:top w:w="0" w:type="dxa"/>
            <w:left w:w="108" w:type="dxa"/>
            <w:bottom w:w="0" w:type="dxa"/>
            <w:right w:w="108" w:type="dxa"/>
          </w:tblCellMar>
        </w:tblPrEx>
        <w:trPr>
          <w:trHeight w:val="309" w:hRule="atLeast"/>
          <w:jc w:val="center"/>
        </w:trPr>
        <w:tc>
          <w:tcPr>
            <w:tcW w:w="386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护理管理人员（护士长、科护士长、护理部主任、护理部科长或干事等）</w:t>
            </w: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护理质量检查数★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480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480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危重病人访视数★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例次</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120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120</w:t>
            </w:r>
          </w:p>
        </w:tc>
      </w:tr>
      <w:tr>
        <w:tblPrEx>
          <w:tblCellMar>
            <w:top w:w="0" w:type="dxa"/>
            <w:left w:w="108" w:type="dxa"/>
            <w:bottom w:w="0" w:type="dxa"/>
            <w:right w:w="108" w:type="dxa"/>
          </w:tblCellMar>
        </w:tblPrEx>
        <w:trPr>
          <w:trHeight w:val="617" w:hRule="atLeast"/>
          <w:jc w:val="center"/>
        </w:trPr>
        <w:tc>
          <w:tcPr>
            <w:tcW w:w="386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29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制（修）定院级及以上制度、规范、标准、流程、常规等</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份数</w:t>
            </w:r>
          </w:p>
        </w:tc>
        <w:tc>
          <w:tcPr>
            <w:tcW w:w="89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w:t>
            </w:r>
          </w:p>
        </w:tc>
        <w:tc>
          <w:tcPr>
            <w:tcW w:w="89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w:t>
            </w:r>
          </w:p>
        </w:tc>
      </w:tr>
      <w:tr>
        <w:tblPrEx>
          <w:tblCellMar>
            <w:top w:w="0" w:type="dxa"/>
            <w:left w:w="108" w:type="dxa"/>
            <w:bottom w:w="0" w:type="dxa"/>
            <w:right w:w="108" w:type="dxa"/>
          </w:tblCellMar>
        </w:tblPrEx>
        <w:trPr>
          <w:trHeight w:val="309" w:hRule="atLeast"/>
          <w:jc w:val="center"/>
        </w:trPr>
        <w:tc>
          <w:tcPr>
            <w:tcW w:w="386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院感</w:t>
            </w:r>
          </w:p>
        </w:tc>
        <w:tc>
          <w:tcPr>
            <w:tcW w:w="291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质控检查数★</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次数</w:t>
            </w:r>
          </w:p>
        </w:tc>
        <w:tc>
          <w:tcPr>
            <w:tcW w:w="89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480</w:t>
            </w:r>
          </w:p>
        </w:tc>
        <w:tc>
          <w:tcPr>
            <w:tcW w:w="89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480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修订院感制度、标准、流程等</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感控相关培训</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场次</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60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60</w:t>
            </w:r>
          </w:p>
        </w:tc>
      </w:tr>
      <w:tr>
        <w:tblPrEx>
          <w:tblCellMar>
            <w:top w:w="0" w:type="dxa"/>
            <w:left w:w="108" w:type="dxa"/>
            <w:bottom w:w="0" w:type="dxa"/>
            <w:right w:w="108" w:type="dxa"/>
          </w:tblCellMar>
        </w:tblPrEx>
        <w:trPr>
          <w:trHeight w:val="309" w:hRule="atLeast"/>
          <w:jc w:val="center"/>
        </w:trPr>
        <w:tc>
          <w:tcPr>
            <w:tcW w:w="386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访视院感防控重点病人</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例次</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120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120</w:t>
            </w:r>
          </w:p>
        </w:tc>
      </w:tr>
      <w:tr>
        <w:tblPrEx>
          <w:tblCellMar>
            <w:top w:w="0" w:type="dxa"/>
            <w:left w:w="108" w:type="dxa"/>
            <w:bottom w:w="0" w:type="dxa"/>
            <w:right w:w="108" w:type="dxa"/>
          </w:tblCellMar>
        </w:tblPrEx>
        <w:trPr>
          <w:trHeight w:val="309" w:hRule="atLeast"/>
          <w:jc w:val="center"/>
        </w:trPr>
        <w:tc>
          <w:tcPr>
            <w:tcW w:w="386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其他（能体现特殊护理岗位工作量）</w:t>
            </w: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例如：口腔门诊四手操作★</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次数</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15000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12000</w:t>
            </w:r>
          </w:p>
        </w:tc>
      </w:tr>
      <w:tr>
        <w:tblPrEx>
          <w:tblCellMar>
            <w:top w:w="0" w:type="dxa"/>
            <w:left w:w="108" w:type="dxa"/>
            <w:bottom w:w="0" w:type="dxa"/>
            <w:right w:w="108" w:type="dxa"/>
          </w:tblCellMar>
        </w:tblPrEx>
        <w:trPr>
          <w:trHeight w:val="617" w:hRule="atLeast"/>
          <w:jc w:val="center"/>
        </w:trPr>
        <w:tc>
          <w:tcPr>
            <w:tcW w:w="386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29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例如：无抽搐电休克室配合治疗数★</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例次</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10000</w:t>
            </w:r>
          </w:p>
        </w:tc>
        <w:tc>
          <w:tcPr>
            <w:tcW w:w="8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10000</w:t>
            </w:r>
          </w:p>
        </w:tc>
      </w:tr>
      <w:tr>
        <w:tblPrEx>
          <w:tblCellMar>
            <w:top w:w="0" w:type="dxa"/>
            <w:left w:w="108" w:type="dxa"/>
            <w:bottom w:w="0" w:type="dxa"/>
            <w:right w:w="108" w:type="dxa"/>
          </w:tblCellMar>
        </w:tblPrEx>
        <w:trPr>
          <w:trHeight w:val="950" w:hRule="atLeast"/>
          <w:jc w:val="center"/>
        </w:trPr>
        <w:tc>
          <w:tcPr>
            <w:tcW w:w="9884" w:type="dxa"/>
            <w:gridSpan w:val="5"/>
            <w:tcBorders>
              <w:top w:val="single" w:color="auto" w:sz="4" w:space="0"/>
              <w:left w:val="nil"/>
              <w:bottom w:val="nil"/>
              <w:right w:val="nil"/>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注1：工作量指标是中级晋升副高、副高晋升正高期间的完成工作量，均从聘任时间开始计算。</w:t>
            </w:r>
          </w:p>
          <w:p>
            <w:pPr>
              <w:widowControl/>
              <w:jc w:val="left"/>
              <w:rPr>
                <w:rFonts w:ascii="宋体" w:hAnsi="宋体" w:cs="宋体"/>
                <w:kern w:val="0"/>
                <w:sz w:val="24"/>
              </w:rPr>
            </w:pPr>
            <w:r>
              <w:rPr>
                <w:rFonts w:hint="eastAsia" w:ascii="宋体" w:hAnsi="宋体" w:cs="宋体"/>
                <w:kern w:val="0"/>
                <w:sz w:val="24"/>
              </w:rPr>
              <w:t>★为任期内必须达到的累计工作量要求。</w:t>
            </w:r>
          </w:p>
        </w:tc>
      </w:tr>
    </w:tbl>
    <w:p>
      <w:pPr>
        <w:rPr>
          <w:rFonts w:eastAsia="方正仿宋_GBK"/>
          <w:sz w:val="32"/>
          <w:szCs w:val="32"/>
        </w:rPr>
      </w:pPr>
    </w:p>
    <w:p>
      <w:pPr>
        <w:rPr>
          <w:rFonts w:eastAsia="方正仿宋_GBK"/>
          <w:sz w:val="32"/>
          <w:szCs w:val="32"/>
        </w:rPr>
      </w:pPr>
    </w:p>
    <w:p>
      <w:pPr>
        <w:rPr>
          <w:rFonts w:eastAsia="方正仿宋_GBK"/>
          <w:sz w:val="32"/>
          <w:szCs w:val="32"/>
        </w:rPr>
      </w:pPr>
    </w:p>
    <w:p>
      <w:pPr>
        <w:rPr>
          <w:rFonts w:eastAsia="方正仿宋_GBK"/>
          <w:sz w:val="32"/>
          <w:szCs w:val="32"/>
        </w:rPr>
      </w:pPr>
    </w:p>
    <w:p>
      <w:pPr>
        <w:rPr>
          <w:rFonts w:eastAsia="方正仿宋_GBK"/>
          <w:sz w:val="32"/>
          <w:szCs w:val="32"/>
        </w:rPr>
      </w:pPr>
    </w:p>
    <w:p>
      <w:pPr>
        <w:rPr>
          <w:rFonts w:eastAsia="方正仿宋_GBK"/>
          <w:sz w:val="32"/>
          <w:szCs w:val="32"/>
        </w:rPr>
      </w:pPr>
    </w:p>
    <w:p>
      <w:pPr>
        <w:rPr>
          <w:rFonts w:eastAsia="方正仿宋_GBK"/>
          <w:sz w:val="32"/>
          <w:szCs w:val="32"/>
        </w:rPr>
      </w:pPr>
    </w:p>
    <w:p>
      <w:pPr>
        <w:rPr>
          <w:rFonts w:eastAsia="方正仿宋_GBK"/>
          <w:sz w:val="32"/>
          <w:szCs w:val="32"/>
        </w:rPr>
      </w:pPr>
    </w:p>
    <w:p>
      <w:pPr>
        <w:rPr>
          <w:rFonts w:eastAsia="方正仿宋_GBK"/>
          <w:sz w:val="32"/>
          <w:szCs w:val="32"/>
        </w:rPr>
      </w:pPr>
    </w:p>
    <w:p>
      <w:pPr>
        <w:rPr>
          <w:rFonts w:eastAsia="方正仿宋_GBK"/>
          <w:sz w:val="32"/>
          <w:szCs w:val="32"/>
        </w:rPr>
      </w:pPr>
    </w:p>
    <w:p>
      <w:pPr>
        <w:rPr>
          <w:rFonts w:eastAsia="方正仿宋_GBK"/>
          <w:sz w:val="32"/>
          <w:szCs w:val="32"/>
        </w:rPr>
      </w:pPr>
    </w:p>
    <w:p>
      <w:pPr>
        <w:rPr>
          <w:rFonts w:eastAsia="方正仿宋_GBK"/>
          <w:sz w:val="32"/>
          <w:szCs w:val="32"/>
        </w:rPr>
      </w:pPr>
    </w:p>
    <w:p>
      <w:pPr>
        <w:widowControl/>
        <w:jc w:val="left"/>
        <w:rPr>
          <w:rFonts w:eastAsia="方正仿宋_GBK"/>
          <w:sz w:val="32"/>
          <w:szCs w:val="32"/>
        </w:rPr>
      </w:pPr>
      <w:r>
        <w:rPr>
          <w:rFonts w:eastAsia="方正仿宋_GBK"/>
          <w:sz w:val="32"/>
          <w:szCs w:val="32"/>
        </w:rPr>
        <w:br w:type="page"/>
      </w:r>
    </w:p>
    <w:tbl>
      <w:tblPr>
        <w:tblStyle w:val="10"/>
        <w:tblW w:w="9087" w:type="dxa"/>
        <w:tblInd w:w="93" w:type="dxa"/>
        <w:tblLayout w:type="fixed"/>
        <w:tblCellMar>
          <w:top w:w="0" w:type="dxa"/>
          <w:left w:w="108" w:type="dxa"/>
          <w:bottom w:w="0" w:type="dxa"/>
          <w:right w:w="108" w:type="dxa"/>
        </w:tblCellMar>
      </w:tblPr>
      <w:tblGrid>
        <w:gridCol w:w="1291"/>
        <w:gridCol w:w="436"/>
        <w:gridCol w:w="2399"/>
        <w:gridCol w:w="498"/>
        <w:gridCol w:w="494"/>
        <w:gridCol w:w="620"/>
        <w:gridCol w:w="373"/>
        <w:gridCol w:w="779"/>
        <w:gridCol w:w="213"/>
        <w:gridCol w:w="141"/>
        <w:gridCol w:w="298"/>
        <w:gridCol w:w="553"/>
        <w:gridCol w:w="992"/>
      </w:tblGrid>
      <w:tr>
        <w:tblPrEx>
          <w:tblCellMar>
            <w:top w:w="0" w:type="dxa"/>
            <w:left w:w="108" w:type="dxa"/>
            <w:bottom w:w="0" w:type="dxa"/>
            <w:right w:w="108" w:type="dxa"/>
          </w:tblCellMar>
        </w:tblPrEx>
        <w:trPr>
          <w:trHeight w:val="516" w:hRule="atLeast"/>
        </w:trPr>
        <w:tc>
          <w:tcPr>
            <w:tcW w:w="9087" w:type="dxa"/>
            <w:gridSpan w:val="13"/>
            <w:tcBorders>
              <w:top w:val="nil"/>
              <w:left w:val="nil"/>
              <w:bottom w:val="nil"/>
              <w:right w:val="nil"/>
            </w:tcBorders>
            <w:shd w:val="clear" w:color="auto" w:fill="auto"/>
            <w:noWrap/>
            <w:vAlign w:val="center"/>
          </w:tcPr>
          <w:p>
            <w:pPr>
              <w:widowControl/>
              <w:jc w:val="left"/>
              <w:rPr>
                <w:rFonts w:eastAsia="方正仿宋_GBK"/>
                <w:sz w:val="32"/>
                <w:szCs w:val="32"/>
              </w:rPr>
            </w:pPr>
            <w:r>
              <w:rPr>
                <w:rFonts w:eastAsia="方正仿宋_GBK"/>
                <w:sz w:val="32"/>
                <w:szCs w:val="32"/>
              </w:rPr>
              <w:t>附表</w:t>
            </w:r>
            <w:r>
              <w:rPr>
                <w:rFonts w:hint="eastAsia" w:eastAsia="方正仿宋_GBK"/>
                <w:sz w:val="32"/>
                <w:szCs w:val="32"/>
              </w:rPr>
              <w:t>3：任现职以来完成本专业技术工作情况表</w:t>
            </w:r>
          </w:p>
          <w:p>
            <w:pPr>
              <w:widowControl/>
              <w:jc w:val="center"/>
              <w:rPr>
                <w:rFonts w:ascii="宋体" w:hAnsi="宋体" w:cs="宋体"/>
                <w:b/>
                <w:bCs/>
                <w:kern w:val="0"/>
                <w:sz w:val="40"/>
                <w:szCs w:val="40"/>
              </w:rPr>
            </w:pPr>
            <w:r>
              <w:rPr>
                <w:rFonts w:hint="eastAsia" w:ascii="宋体" w:hAnsi="宋体" w:cs="宋体"/>
                <w:b/>
                <w:bCs/>
                <w:kern w:val="0"/>
                <w:sz w:val="40"/>
                <w:szCs w:val="40"/>
              </w:rPr>
              <w:t>任现职以来完成本专业技术工作情况表</w:t>
            </w:r>
          </w:p>
        </w:tc>
      </w:tr>
      <w:tr>
        <w:tblPrEx>
          <w:tblCellMar>
            <w:top w:w="0" w:type="dxa"/>
            <w:left w:w="108" w:type="dxa"/>
            <w:bottom w:w="0" w:type="dxa"/>
            <w:right w:w="108" w:type="dxa"/>
          </w:tblCellMar>
        </w:tblPrEx>
        <w:trPr>
          <w:trHeight w:val="288" w:hRule="atLeast"/>
        </w:trPr>
        <w:tc>
          <w:tcPr>
            <w:tcW w:w="1727" w:type="dxa"/>
            <w:gridSpan w:val="2"/>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c>
          <w:tcPr>
            <w:tcW w:w="2399" w:type="dxa"/>
            <w:tcBorders>
              <w:top w:val="nil"/>
              <w:left w:val="nil"/>
              <w:bottom w:val="nil"/>
              <w:right w:val="nil"/>
            </w:tcBorders>
            <w:shd w:val="clear" w:color="auto" w:fill="auto"/>
            <w:vAlign w:val="center"/>
          </w:tcPr>
          <w:p>
            <w:pPr>
              <w:widowControl/>
              <w:jc w:val="center"/>
              <w:rPr>
                <w:rFonts w:ascii="宋体" w:hAnsi="宋体" w:cs="宋体"/>
                <w:kern w:val="0"/>
                <w:sz w:val="22"/>
                <w:szCs w:val="22"/>
              </w:rPr>
            </w:pPr>
          </w:p>
        </w:tc>
        <w:tc>
          <w:tcPr>
            <w:tcW w:w="1612" w:type="dxa"/>
            <w:gridSpan w:val="3"/>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c>
          <w:tcPr>
            <w:tcW w:w="1152" w:type="dxa"/>
            <w:gridSpan w:val="2"/>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c>
          <w:tcPr>
            <w:tcW w:w="354" w:type="dxa"/>
            <w:gridSpan w:val="2"/>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c>
          <w:tcPr>
            <w:tcW w:w="298" w:type="dxa"/>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c>
          <w:tcPr>
            <w:tcW w:w="1545" w:type="dxa"/>
            <w:gridSpan w:val="2"/>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399" w:hRule="atLeast"/>
        </w:trPr>
        <w:tc>
          <w:tcPr>
            <w:tcW w:w="1727" w:type="dxa"/>
            <w:gridSpan w:val="2"/>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单位（</w:t>
            </w:r>
            <w:r>
              <w:rPr>
                <w:rFonts w:hint="eastAsia" w:ascii="宋体" w:hAnsi="宋体" w:cs="宋体"/>
                <w:b/>
                <w:kern w:val="0"/>
                <w:sz w:val="22"/>
                <w:szCs w:val="22"/>
              </w:rPr>
              <w:t>盖章</w:t>
            </w:r>
            <w:r>
              <w:rPr>
                <w:rFonts w:hint="eastAsia" w:ascii="宋体" w:hAnsi="宋体" w:cs="宋体"/>
                <w:kern w:val="0"/>
                <w:sz w:val="22"/>
                <w:szCs w:val="22"/>
              </w:rPr>
              <w:t>）</w:t>
            </w:r>
          </w:p>
        </w:tc>
        <w:tc>
          <w:tcPr>
            <w:tcW w:w="2399" w:type="dxa"/>
            <w:tcBorders>
              <w:top w:val="nil"/>
              <w:left w:val="nil"/>
              <w:bottom w:val="nil"/>
              <w:right w:val="nil"/>
            </w:tcBorders>
            <w:shd w:val="clear" w:color="auto" w:fill="auto"/>
            <w:vAlign w:val="center"/>
          </w:tcPr>
          <w:p>
            <w:pPr>
              <w:widowControl/>
              <w:jc w:val="center"/>
              <w:rPr>
                <w:rFonts w:ascii="宋体" w:hAnsi="宋体" w:cs="宋体"/>
                <w:kern w:val="0"/>
                <w:sz w:val="22"/>
                <w:szCs w:val="22"/>
              </w:rPr>
            </w:pPr>
          </w:p>
        </w:tc>
        <w:tc>
          <w:tcPr>
            <w:tcW w:w="1612" w:type="dxa"/>
            <w:gridSpan w:val="3"/>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c>
          <w:tcPr>
            <w:tcW w:w="1152" w:type="dxa"/>
            <w:gridSpan w:val="2"/>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姓名</w:t>
            </w:r>
          </w:p>
        </w:tc>
        <w:tc>
          <w:tcPr>
            <w:tcW w:w="354" w:type="dxa"/>
            <w:gridSpan w:val="2"/>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c>
          <w:tcPr>
            <w:tcW w:w="298" w:type="dxa"/>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c>
          <w:tcPr>
            <w:tcW w:w="1545" w:type="dxa"/>
            <w:gridSpan w:val="2"/>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399" w:hRule="atLeast"/>
        </w:trPr>
        <w:tc>
          <w:tcPr>
            <w:tcW w:w="1727" w:type="dxa"/>
            <w:gridSpan w:val="2"/>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申报级别</w:t>
            </w:r>
          </w:p>
        </w:tc>
        <w:tc>
          <w:tcPr>
            <w:tcW w:w="2399" w:type="dxa"/>
            <w:tcBorders>
              <w:top w:val="nil"/>
              <w:left w:val="nil"/>
              <w:bottom w:val="nil"/>
              <w:right w:val="nil"/>
            </w:tcBorders>
            <w:shd w:val="clear" w:color="auto" w:fill="auto"/>
            <w:vAlign w:val="center"/>
          </w:tcPr>
          <w:p>
            <w:pPr>
              <w:widowControl/>
              <w:jc w:val="center"/>
              <w:rPr>
                <w:rFonts w:ascii="宋体" w:hAnsi="宋体" w:cs="宋体"/>
                <w:kern w:val="0"/>
                <w:sz w:val="22"/>
                <w:szCs w:val="22"/>
              </w:rPr>
            </w:pPr>
          </w:p>
        </w:tc>
        <w:tc>
          <w:tcPr>
            <w:tcW w:w="1612" w:type="dxa"/>
            <w:gridSpan w:val="3"/>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c>
          <w:tcPr>
            <w:tcW w:w="1506" w:type="dxa"/>
            <w:gridSpan w:val="4"/>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申报专业</w:t>
            </w:r>
          </w:p>
        </w:tc>
        <w:tc>
          <w:tcPr>
            <w:tcW w:w="298" w:type="dxa"/>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c>
          <w:tcPr>
            <w:tcW w:w="1545" w:type="dxa"/>
            <w:gridSpan w:val="2"/>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399" w:hRule="atLeast"/>
        </w:trPr>
        <w:tc>
          <w:tcPr>
            <w:tcW w:w="4126" w:type="dxa"/>
            <w:gridSpan w:val="3"/>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科室（任期内多个科室）</w:t>
            </w:r>
          </w:p>
        </w:tc>
        <w:tc>
          <w:tcPr>
            <w:tcW w:w="1612" w:type="dxa"/>
            <w:gridSpan w:val="3"/>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c>
          <w:tcPr>
            <w:tcW w:w="1152" w:type="dxa"/>
            <w:gridSpan w:val="2"/>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c>
          <w:tcPr>
            <w:tcW w:w="354" w:type="dxa"/>
            <w:gridSpan w:val="2"/>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c>
          <w:tcPr>
            <w:tcW w:w="298" w:type="dxa"/>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c>
          <w:tcPr>
            <w:tcW w:w="1545" w:type="dxa"/>
            <w:gridSpan w:val="2"/>
            <w:tcBorders>
              <w:top w:val="nil"/>
              <w:left w:val="nil"/>
              <w:bottom w:val="nil"/>
              <w:right w:val="nil"/>
            </w:tcBorders>
            <w:shd w:val="clear" w:color="auto" w:fill="auto"/>
            <w:noWrap/>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399" w:hRule="atLeast"/>
        </w:trPr>
        <w:tc>
          <w:tcPr>
            <w:tcW w:w="129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分类</w:t>
            </w:r>
          </w:p>
        </w:tc>
        <w:tc>
          <w:tcPr>
            <w:tcW w:w="2835"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项目</w:t>
            </w:r>
          </w:p>
        </w:tc>
        <w:tc>
          <w:tcPr>
            <w:tcW w:w="4961" w:type="dxa"/>
            <w:gridSpan w:val="10"/>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近5年工作数量（任期超过5年的可自行增加）</w:t>
            </w:r>
          </w:p>
        </w:tc>
      </w:tr>
      <w:tr>
        <w:tblPrEx>
          <w:tblCellMar>
            <w:top w:w="0" w:type="dxa"/>
            <w:left w:w="108" w:type="dxa"/>
            <w:bottom w:w="0" w:type="dxa"/>
            <w:right w:w="108" w:type="dxa"/>
          </w:tblCellMar>
        </w:tblPrEx>
        <w:trPr>
          <w:trHeight w:val="399" w:hRule="atLeast"/>
        </w:trPr>
        <w:tc>
          <w:tcPr>
            <w:tcW w:w="12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2"/>
                <w:szCs w:val="22"/>
              </w:rPr>
            </w:pPr>
          </w:p>
        </w:tc>
        <w:tc>
          <w:tcPr>
            <w:tcW w:w="283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2"/>
                <w:szCs w:val="22"/>
              </w:rPr>
            </w:pPr>
          </w:p>
        </w:tc>
        <w:tc>
          <w:tcPr>
            <w:tcW w:w="9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____年</w:t>
            </w:r>
          </w:p>
        </w:tc>
        <w:tc>
          <w:tcPr>
            <w:tcW w:w="99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____年</w:t>
            </w:r>
          </w:p>
        </w:tc>
        <w:tc>
          <w:tcPr>
            <w:tcW w:w="9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____年</w:t>
            </w:r>
          </w:p>
        </w:tc>
        <w:tc>
          <w:tcPr>
            <w:tcW w:w="992"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____年</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____年</w:t>
            </w:r>
          </w:p>
        </w:tc>
      </w:tr>
      <w:tr>
        <w:tblPrEx>
          <w:tblCellMar>
            <w:top w:w="0" w:type="dxa"/>
            <w:left w:w="108" w:type="dxa"/>
            <w:bottom w:w="0" w:type="dxa"/>
            <w:right w:w="108" w:type="dxa"/>
          </w:tblCellMar>
        </w:tblPrEx>
        <w:trPr>
          <w:trHeight w:val="495" w:hRule="atLeast"/>
        </w:trPr>
        <w:tc>
          <w:tcPr>
            <w:tcW w:w="129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非手术为主（专业）</w:t>
            </w: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门诊工作量单元（有病房）</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出院人数（参与或作为诊疗组长）</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门诊工作量单元（无病房）</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手术/操作人次</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手术为主（专业）</w:t>
            </w: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门诊工作量单元（有病房）</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出院人数（参与或作为诊疗组长）</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出院患者手术/操作人次</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门诊工作量单元（无病房）</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其他临床专业</w:t>
            </w: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参与诊疗患者人数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签发检查报告份数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无病房科室</w:t>
            </w: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门诊工作量单元</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诊疗人次</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有病房科室</w:t>
            </w: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门诊工作量单元</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出院人数（参与或作为治疗组长）</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出院患者手术/操作人次数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公卫类别专业</w:t>
            </w: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平均每年参加本专业工作周数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平均每年现场工作或在基层工作天数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实际参与指令性监测工作项目数</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实际参与现场调查项目或现场应急处置数</w:t>
            </w:r>
          </w:p>
        </w:tc>
        <w:tc>
          <w:tcPr>
            <w:tcW w:w="992"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参与核和辐射应急相关活动数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参与职业性放射性疾病诊断或鉴定数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职业卫生现场调查数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出具毒理学第一阶段相关检测报告数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出具毒理学第二、第三阶段相关检测报告数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参与城镇媒介生物控制效果评估和技术指导数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出具消毒相关检测报告数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医疗机构或其他机构消毒质量监测采样单数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病媒生物监测工作天数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药学类专业</w:t>
            </w: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平均每年参加本专业工作周数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95" w:hRule="atLeast"/>
        </w:trPr>
        <w:tc>
          <w:tcPr>
            <w:tcW w:w="1291" w:type="dxa"/>
            <w:vMerge w:val="continue"/>
            <w:tcBorders>
              <w:left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tcPr>
          <w:p>
            <w:r>
              <w:rPr>
                <w:rFonts w:hint="eastAsia"/>
              </w:rPr>
              <w:t>纠正医嘱、指导临床合理用药</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95" w:hRule="atLeast"/>
        </w:trPr>
        <w:tc>
          <w:tcPr>
            <w:tcW w:w="1291" w:type="dxa"/>
            <w:vMerge w:val="continue"/>
            <w:tcBorders>
              <w:left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tcPr>
          <w:p>
            <w:r>
              <w:rPr>
                <w:rFonts w:hint="eastAsia"/>
              </w:rPr>
              <w:t>解决临床用药及药物制剂中复杂疑难问题数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95" w:hRule="atLeast"/>
        </w:trPr>
        <w:tc>
          <w:tcPr>
            <w:tcW w:w="1291" w:type="dxa"/>
            <w:vMerge w:val="continue"/>
            <w:tcBorders>
              <w:left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tcPr>
          <w:p>
            <w:r>
              <w:rPr>
                <w:rFonts w:hint="eastAsia"/>
              </w:rPr>
              <w:t>参加处方或医嘱审方点评量</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95" w:hRule="atLeast"/>
        </w:trPr>
        <w:tc>
          <w:tcPr>
            <w:tcW w:w="1291" w:type="dxa"/>
            <w:vMerge w:val="continue"/>
            <w:tcBorders>
              <w:left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tcPr>
          <w:p>
            <w:r>
              <w:rPr>
                <w:rFonts w:hint="eastAsia"/>
              </w:rPr>
              <w:t>参加临床会诊、制定药物治疗方案或书写药历情况</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95" w:hRule="atLeast"/>
        </w:trPr>
        <w:tc>
          <w:tcPr>
            <w:tcW w:w="1291" w:type="dxa"/>
            <w:vMerge w:val="continue"/>
            <w:tcBorders>
              <w:left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tcPr>
          <w:p>
            <w:r>
              <w:rPr>
                <w:rFonts w:hint="eastAsia"/>
              </w:rPr>
              <w:t>组织分析评价临床用药不良反应次数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95" w:hRule="atLeast"/>
        </w:trPr>
        <w:tc>
          <w:tcPr>
            <w:tcW w:w="1291"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tcPr>
          <w:p>
            <w:r>
              <w:rPr>
                <w:rFonts w:hint="eastAsia"/>
              </w:rPr>
              <w:t>带领下级药师会诊、用药咨询数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510" w:hRule="atLeast"/>
        </w:trPr>
        <w:tc>
          <w:tcPr>
            <w:tcW w:w="129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护理类专业</w:t>
            </w: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护理非危重病人数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护理危重病人数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主持护理查房或护理会诊数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晚夜班数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有创呼吸机管理数</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参与手术配合数</w:t>
            </w:r>
          </w:p>
        </w:tc>
        <w:tc>
          <w:tcPr>
            <w:tcW w:w="992"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参与三、四级手术配合数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参与危重病人抢救</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参与介入手术配合数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参与三、四级介入诊疗技术配合数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参与内镜检查与治疗数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参与三、四级内镜诊疗技术配合数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血液透析操作及护理人数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CRRT操作及护理人数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腹透操作及护理人数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专科技术操作数： PICC置管、PICC维护；换药数；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专科门诊病人数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64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软硬式内镜、精密器械包处理数（分类、清洗、质量检查、包装、灭菌）</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护理质量检查数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危重病人访视数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64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制（修）定院级及以上制度、规范、标准、流程、常规等</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10"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其他：_______________________</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825" w:hRule="atLeast"/>
        </w:trPr>
        <w:tc>
          <w:tcPr>
            <w:tcW w:w="129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医技类专业</w:t>
            </w: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检验技术：签发报告数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82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康复技术：_______________________</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82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营养技术：_______________________</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kern w:val="0"/>
                <w:sz w:val="22"/>
                <w:szCs w:val="22"/>
              </w:rPr>
            </w:pPr>
            <w:r>
              <w:rPr>
                <w:rFonts w:hint="eastAsia" w:ascii="宋体" w:hAnsi="宋体" w:cs="宋体"/>
                <w:b/>
                <w:bCs/>
                <w:kern w:val="0"/>
                <w:sz w:val="22"/>
                <w:szCs w:val="22"/>
              </w:rPr>
              <w:t>放射影像技术：（检查例数）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特殊体位X线摄影（含功能X线摄影）</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静脉肾盂造影</w:t>
            </w:r>
          </w:p>
        </w:tc>
        <w:tc>
          <w:tcPr>
            <w:tcW w:w="992"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DR双能量减影技术或DR组织均衡技术</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DR融合断层技术或长骨拼接技术</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乳腺摄影</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大血管CTA及其后处理</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冠脉CTA及其后处理</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CT灌注成像及其后处理</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76"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CT特殊功能成像（如能谱成像）及其后处理</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864"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CT多平面重组或其它后处理（如表面阴影显示、容积再现、仿真内窥镜等）</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MRA或MRV扫描及其后处理</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DWI扫描及其后处理</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MRS扫描及后处理</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MR灌注扫描及其图像后处理</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臂丛或腰丛神经扫描及后处理</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心脏MRI检查</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MR特殊功能成像（如扩散成像）及其后处理</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72"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类CT DSA</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288"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旋转DSA</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288"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步进DSA</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82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工程技术：_______________________</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82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病案技术：_______________________</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825" w:hRule="atLeast"/>
        </w:trPr>
        <w:tc>
          <w:tcPr>
            <w:tcW w:w="129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口腔技术：_______________________</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825" w:hRule="atLeast"/>
        </w:trPr>
        <w:tc>
          <w:tcPr>
            <w:tcW w:w="129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微生物/病媒/理化/消毒技术：_______________________</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32" w:hRule="atLeast"/>
        </w:trPr>
        <w:tc>
          <w:tcPr>
            <w:tcW w:w="12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卫生管理专业</w:t>
            </w:r>
          </w:p>
        </w:tc>
        <w:tc>
          <w:tcPr>
            <w:tcW w:w="28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平均每年参加本专业工作周数</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32" w:hRule="atLeast"/>
        </w:trPr>
        <w:tc>
          <w:tcPr>
            <w:tcW w:w="1291" w:type="dxa"/>
            <w:vMerge w:val="continue"/>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5"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与管理有关的获奖数</w:t>
            </w:r>
          </w:p>
        </w:tc>
        <w:tc>
          <w:tcPr>
            <w:tcW w:w="992"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32" w:hRule="atLeast"/>
        </w:trPr>
        <w:tc>
          <w:tcPr>
            <w:tcW w:w="1291" w:type="dxa"/>
            <w:vMerge w:val="continue"/>
            <w:tcBorders>
              <w:left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与管理有关的课题数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32" w:hRule="atLeast"/>
        </w:trPr>
        <w:tc>
          <w:tcPr>
            <w:tcW w:w="1291"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管理经验交流数</w:t>
            </w: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32" w:hRule="atLeast"/>
        </w:trPr>
        <w:tc>
          <w:tcPr>
            <w:tcW w:w="1291" w:type="dxa"/>
            <w:tcBorders>
              <w:top w:val="nil"/>
              <w:left w:val="nil"/>
              <w:bottom w:val="nil"/>
              <w:right w:val="nil"/>
            </w:tcBorders>
            <w:shd w:val="clear" w:color="auto" w:fill="auto"/>
            <w:vAlign w:val="center"/>
          </w:tcPr>
          <w:p>
            <w:pPr>
              <w:widowControl/>
              <w:jc w:val="center"/>
              <w:rPr>
                <w:rFonts w:ascii="宋体" w:hAnsi="宋体" w:cs="宋体"/>
                <w:kern w:val="0"/>
                <w:sz w:val="22"/>
                <w:szCs w:val="22"/>
              </w:rPr>
            </w:pPr>
          </w:p>
        </w:tc>
        <w:tc>
          <w:tcPr>
            <w:tcW w:w="2835" w:type="dxa"/>
            <w:gridSpan w:val="2"/>
            <w:tcBorders>
              <w:top w:val="nil"/>
              <w:left w:val="nil"/>
              <w:bottom w:val="nil"/>
              <w:right w:val="nil"/>
            </w:tcBorders>
            <w:shd w:val="clear" w:color="auto" w:fill="auto"/>
            <w:vAlign w:val="center"/>
          </w:tcPr>
          <w:p>
            <w:pPr>
              <w:widowControl/>
              <w:jc w:val="left"/>
              <w:rPr>
                <w:rFonts w:ascii="宋体" w:hAnsi="宋体" w:cs="宋体"/>
                <w:kern w:val="0"/>
                <w:sz w:val="22"/>
                <w:szCs w:val="22"/>
              </w:rPr>
            </w:pPr>
          </w:p>
        </w:tc>
        <w:tc>
          <w:tcPr>
            <w:tcW w:w="992" w:type="dxa"/>
            <w:gridSpan w:val="2"/>
            <w:tcBorders>
              <w:top w:val="nil"/>
              <w:left w:val="nil"/>
              <w:bottom w:val="nil"/>
              <w:right w:val="nil"/>
            </w:tcBorders>
            <w:shd w:val="clear" w:color="auto" w:fill="auto"/>
            <w:vAlign w:val="center"/>
          </w:tcPr>
          <w:p>
            <w:pPr>
              <w:widowControl/>
              <w:jc w:val="center"/>
              <w:rPr>
                <w:rFonts w:ascii="宋体" w:hAnsi="宋体" w:cs="宋体"/>
                <w:kern w:val="0"/>
                <w:sz w:val="22"/>
                <w:szCs w:val="22"/>
              </w:rPr>
            </w:pPr>
          </w:p>
        </w:tc>
        <w:tc>
          <w:tcPr>
            <w:tcW w:w="993" w:type="dxa"/>
            <w:gridSpan w:val="2"/>
            <w:tcBorders>
              <w:top w:val="nil"/>
              <w:left w:val="nil"/>
              <w:bottom w:val="nil"/>
              <w:right w:val="nil"/>
            </w:tcBorders>
            <w:shd w:val="clear" w:color="auto" w:fill="auto"/>
            <w:vAlign w:val="center"/>
          </w:tcPr>
          <w:p>
            <w:pPr>
              <w:widowControl/>
              <w:jc w:val="center"/>
              <w:rPr>
                <w:rFonts w:ascii="宋体" w:hAnsi="宋体" w:cs="宋体"/>
                <w:kern w:val="0"/>
                <w:sz w:val="22"/>
                <w:szCs w:val="22"/>
              </w:rPr>
            </w:pPr>
          </w:p>
        </w:tc>
        <w:tc>
          <w:tcPr>
            <w:tcW w:w="992" w:type="dxa"/>
            <w:gridSpan w:val="2"/>
            <w:tcBorders>
              <w:top w:val="nil"/>
              <w:left w:val="nil"/>
              <w:bottom w:val="nil"/>
              <w:right w:val="nil"/>
            </w:tcBorders>
            <w:shd w:val="clear" w:color="auto" w:fill="auto"/>
            <w:vAlign w:val="center"/>
          </w:tcPr>
          <w:p>
            <w:pPr>
              <w:widowControl/>
              <w:jc w:val="center"/>
              <w:rPr>
                <w:rFonts w:ascii="宋体" w:hAnsi="宋体" w:cs="宋体"/>
                <w:kern w:val="0"/>
                <w:sz w:val="22"/>
                <w:szCs w:val="22"/>
              </w:rPr>
            </w:pPr>
          </w:p>
        </w:tc>
        <w:tc>
          <w:tcPr>
            <w:tcW w:w="992" w:type="dxa"/>
            <w:gridSpan w:val="3"/>
            <w:tcBorders>
              <w:top w:val="nil"/>
              <w:left w:val="nil"/>
              <w:bottom w:val="nil"/>
              <w:right w:val="nil"/>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nil"/>
              <w:right w:val="nil"/>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44" w:hRule="atLeast"/>
        </w:trPr>
        <w:tc>
          <w:tcPr>
            <w:tcW w:w="9087" w:type="dxa"/>
            <w:gridSpan w:val="13"/>
            <w:tcBorders>
              <w:top w:val="nil"/>
              <w:left w:val="nil"/>
              <w:bottom w:val="nil"/>
              <w:right w:val="nil"/>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所在科室负责人（签字）</w:t>
            </w:r>
            <w:r>
              <w:rPr>
                <w:kern w:val="0"/>
                <w:sz w:val="24"/>
              </w:rPr>
              <w:t xml:space="preserve">_______________      </w:t>
            </w:r>
            <w:r>
              <w:rPr>
                <w:rFonts w:hint="eastAsia" w:ascii="宋体" w:hAnsi="宋体" w:cs="宋体"/>
                <w:kern w:val="0"/>
                <w:sz w:val="24"/>
              </w:rPr>
              <w:t>医务处（科）</w:t>
            </w:r>
            <w:r>
              <w:rPr>
                <w:kern w:val="0"/>
                <w:sz w:val="24"/>
              </w:rPr>
              <w:t>/</w:t>
            </w:r>
            <w:r>
              <w:rPr>
                <w:rFonts w:hint="eastAsia" w:ascii="宋体" w:hAnsi="宋体" w:cs="宋体"/>
                <w:kern w:val="0"/>
                <w:sz w:val="24"/>
              </w:rPr>
              <w:t>护理部负责人（签字）</w:t>
            </w:r>
            <w:r>
              <w:rPr>
                <w:kern w:val="0"/>
                <w:sz w:val="24"/>
              </w:rPr>
              <w:t>________________</w:t>
            </w:r>
          </w:p>
        </w:tc>
      </w:tr>
      <w:tr>
        <w:tblPrEx>
          <w:tblCellMar>
            <w:top w:w="0" w:type="dxa"/>
            <w:left w:w="108" w:type="dxa"/>
            <w:bottom w:w="0" w:type="dxa"/>
            <w:right w:w="108" w:type="dxa"/>
          </w:tblCellMar>
        </w:tblPrEx>
        <w:trPr>
          <w:trHeight w:val="276" w:hRule="atLeast"/>
        </w:trPr>
        <w:tc>
          <w:tcPr>
            <w:tcW w:w="1727" w:type="dxa"/>
            <w:gridSpan w:val="2"/>
            <w:tcBorders>
              <w:top w:val="nil"/>
              <w:left w:val="nil"/>
              <w:bottom w:val="nil"/>
              <w:right w:val="nil"/>
            </w:tcBorders>
            <w:shd w:val="clear" w:color="auto" w:fill="auto"/>
            <w:noWrap/>
            <w:vAlign w:val="bottom"/>
          </w:tcPr>
          <w:p>
            <w:pPr>
              <w:widowControl/>
              <w:jc w:val="left"/>
              <w:rPr>
                <w:rFonts w:ascii="宋体" w:hAnsi="宋体" w:cs="宋体"/>
                <w:kern w:val="0"/>
                <w:sz w:val="24"/>
              </w:rPr>
            </w:pPr>
          </w:p>
        </w:tc>
        <w:tc>
          <w:tcPr>
            <w:tcW w:w="2897" w:type="dxa"/>
            <w:gridSpan w:val="2"/>
            <w:tcBorders>
              <w:top w:val="nil"/>
              <w:left w:val="nil"/>
              <w:bottom w:val="nil"/>
              <w:right w:val="nil"/>
            </w:tcBorders>
            <w:shd w:val="clear" w:color="auto" w:fill="auto"/>
            <w:vAlign w:val="bottom"/>
          </w:tcPr>
          <w:p>
            <w:pPr>
              <w:widowControl/>
              <w:jc w:val="left"/>
              <w:rPr>
                <w:rFonts w:ascii="宋体" w:hAnsi="宋体" w:cs="宋体"/>
                <w:kern w:val="0"/>
                <w:sz w:val="24"/>
              </w:rPr>
            </w:pPr>
          </w:p>
        </w:tc>
        <w:tc>
          <w:tcPr>
            <w:tcW w:w="1114" w:type="dxa"/>
            <w:gridSpan w:val="2"/>
            <w:tcBorders>
              <w:top w:val="nil"/>
              <w:left w:val="nil"/>
              <w:bottom w:val="nil"/>
              <w:right w:val="nil"/>
            </w:tcBorders>
            <w:shd w:val="clear" w:color="auto" w:fill="auto"/>
            <w:noWrap/>
            <w:vAlign w:val="bottom"/>
          </w:tcPr>
          <w:p>
            <w:pPr>
              <w:widowControl/>
              <w:jc w:val="left"/>
              <w:rPr>
                <w:rFonts w:ascii="宋体" w:hAnsi="宋体" w:cs="宋体"/>
                <w:kern w:val="0"/>
                <w:sz w:val="24"/>
              </w:rPr>
            </w:pPr>
          </w:p>
        </w:tc>
        <w:tc>
          <w:tcPr>
            <w:tcW w:w="1152" w:type="dxa"/>
            <w:gridSpan w:val="2"/>
            <w:tcBorders>
              <w:top w:val="nil"/>
              <w:left w:val="nil"/>
              <w:bottom w:val="nil"/>
              <w:right w:val="nil"/>
            </w:tcBorders>
            <w:shd w:val="clear" w:color="auto" w:fill="auto"/>
            <w:noWrap/>
            <w:vAlign w:val="bottom"/>
          </w:tcPr>
          <w:p>
            <w:pPr>
              <w:widowControl/>
              <w:jc w:val="left"/>
              <w:rPr>
                <w:rFonts w:ascii="宋体" w:hAnsi="宋体" w:cs="宋体"/>
                <w:kern w:val="0"/>
                <w:sz w:val="24"/>
              </w:rPr>
            </w:pPr>
          </w:p>
        </w:tc>
        <w:tc>
          <w:tcPr>
            <w:tcW w:w="354" w:type="dxa"/>
            <w:gridSpan w:val="2"/>
            <w:tcBorders>
              <w:top w:val="nil"/>
              <w:left w:val="nil"/>
              <w:bottom w:val="nil"/>
              <w:right w:val="nil"/>
            </w:tcBorders>
            <w:shd w:val="clear" w:color="auto" w:fill="auto"/>
            <w:noWrap/>
            <w:vAlign w:val="bottom"/>
          </w:tcPr>
          <w:p>
            <w:pPr>
              <w:widowControl/>
              <w:jc w:val="left"/>
              <w:rPr>
                <w:rFonts w:ascii="宋体" w:hAnsi="宋体" w:cs="宋体"/>
                <w:kern w:val="0"/>
                <w:sz w:val="24"/>
              </w:rPr>
            </w:pPr>
          </w:p>
        </w:tc>
        <w:tc>
          <w:tcPr>
            <w:tcW w:w="298" w:type="dxa"/>
            <w:tcBorders>
              <w:top w:val="nil"/>
              <w:left w:val="nil"/>
              <w:bottom w:val="nil"/>
              <w:right w:val="nil"/>
            </w:tcBorders>
            <w:shd w:val="clear" w:color="auto" w:fill="auto"/>
            <w:noWrap/>
            <w:vAlign w:val="bottom"/>
          </w:tcPr>
          <w:p>
            <w:pPr>
              <w:widowControl/>
              <w:jc w:val="left"/>
              <w:rPr>
                <w:rFonts w:ascii="宋体" w:hAnsi="宋体" w:cs="宋体"/>
                <w:kern w:val="0"/>
                <w:sz w:val="24"/>
              </w:rPr>
            </w:pPr>
          </w:p>
        </w:tc>
        <w:tc>
          <w:tcPr>
            <w:tcW w:w="1545" w:type="dxa"/>
            <w:gridSpan w:val="2"/>
            <w:tcBorders>
              <w:top w:val="nil"/>
              <w:left w:val="nil"/>
              <w:bottom w:val="nil"/>
              <w:right w:val="nil"/>
            </w:tcBorders>
            <w:shd w:val="clear" w:color="auto" w:fill="auto"/>
            <w:noWrap/>
            <w:vAlign w:val="bottom"/>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188" w:hRule="atLeast"/>
        </w:trPr>
        <w:tc>
          <w:tcPr>
            <w:tcW w:w="9087" w:type="dxa"/>
            <w:gridSpan w:val="13"/>
            <w:tcBorders>
              <w:top w:val="nil"/>
              <w:left w:val="nil"/>
              <w:bottom w:val="nil"/>
              <w:right w:val="nil"/>
            </w:tcBorders>
            <w:shd w:val="clear" w:color="auto" w:fill="auto"/>
          </w:tcPr>
          <w:p>
            <w:pPr>
              <w:widowControl/>
              <w:jc w:val="left"/>
              <w:rPr>
                <w:rFonts w:ascii="宋体" w:hAnsi="宋体" w:cs="宋体"/>
                <w:kern w:val="0"/>
                <w:sz w:val="22"/>
                <w:szCs w:val="22"/>
              </w:rPr>
            </w:pPr>
            <w:r>
              <w:rPr>
                <w:rFonts w:hint="eastAsia" w:ascii="宋体" w:hAnsi="宋体" w:cs="宋体"/>
                <w:kern w:val="0"/>
                <w:sz w:val="22"/>
                <w:szCs w:val="22"/>
              </w:rPr>
              <w:t>注1：工作量指标是中级晋升副高、副高晋升正高期间的完成工作量，均从聘任时间开始计算。半天（4小时）接诊不少于15位为1个有效单元。非急诊科医生在5年期间如轮转急诊科，工作期间按照4小时为一个门诊单元数计算。针灸、推拿（按摩）、刮痧、拔罐等中医治疗技术，因受手法操作时间限制，工作量按照4小时为一个门诊单元数计算，不考虑治疗病人数量。</w:t>
            </w:r>
          </w:p>
          <w:p>
            <w:pPr>
              <w:widowControl/>
              <w:jc w:val="left"/>
              <w:rPr>
                <w:rFonts w:ascii="宋体" w:hAnsi="宋体" w:cs="宋体"/>
                <w:kern w:val="0"/>
                <w:sz w:val="22"/>
                <w:szCs w:val="22"/>
              </w:rPr>
            </w:pPr>
            <w:r>
              <w:rPr>
                <w:rFonts w:hint="eastAsia" w:ascii="宋体" w:hAnsi="宋体" w:cs="宋体"/>
                <w:kern w:val="0"/>
                <w:sz w:val="22"/>
                <w:szCs w:val="22"/>
              </w:rPr>
              <w:br w:type="page"/>
            </w:r>
            <w:r>
              <w:rPr>
                <w:rFonts w:hint="eastAsia" w:ascii="宋体" w:hAnsi="宋体" w:cs="宋体"/>
                <w:kern w:val="0"/>
                <w:sz w:val="22"/>
                <w:szCs w:val="22"/>
              </w:rPr>
              <w:t>注2：肾内科学专业透析工作按照4小时为一个门诊单元计算；传染病学专业医师门诊工作量包含发热门诊、肠道门诊工作时间和会诊时间，如无病房则放入无病房组。</w:t>
            </w:r>
            <w:r>
              <w:rPr>
                <w:rFonts w:hint="eastAsia" w:ascii="宋体" w:hAnsi="宋体" w:cs="宋体"/>
                <w:kern w:val="0"/>
                <w:sz w:val="22"/>
                <w:szCs w:val="22"/>
              </w:rPr>
              <w:br w:type="page"/>
            </w:r>
          </w:p>
          <w:p>
            <w:pPr>
              <w:widowControl/>
              <w:jc w:val="left"/>
              <w:rPr>
                <w:rFonts w:ascii="宋体" w:hAnsi="宋体" w:cs="宋体"/>
                <w:kern w:val="0"/>
                <w:sz w:val="22"/>
                <w:szCs w:val="22"/>
              </w:rPr>
            </w:pPr>
            <w:r>
              <w:rPr>
                <w:rFonts w:hint="eastAsia" w:ascii="宋体" w:hAnsi="宋体" w:cs="宋体"/>
                <w:kern w:val="0"/>
                <w:sz w:val="22"/>
                <w:szCs w:val="22"/>
              </w:rPr>
              <w:t>注3：全科医学专业医师门诊工作量包含下基层指导工作时间，如无病房则放入无病房组。</w:t>
            </w:r>
          </w:p>
          <w:p>
            <w:pPr>
              <w:widowControl/>
              <w:jc w:val="left"/>
              <w:rPr>
                <w:rFonts w:ascii="宋体" w:hAnsi="宋体" w:cs="宋体"/>
                <w:kern w:val="0"/>
                <w:sz w:val="22"/>
                <w:szCs w:val="22"/>
              </w:rPr>
            </w:pPr>
            <w:r>
              <w:rPr>
                <w:rFonts w:hint="eastAsia" w:ascii="宋体" w:hAnsi="宋体" w:cs="宋体"/>
                <w:kern w:val="0"/>
                <w:sz w:val="22"/>
                <w:szCs w:val="22"/>
              </w:rPr>
              <w:br w:type="page"/>
            </w:r>
            <w:r>
              <w:rPr>
                <w:rFonts w:hint="eastAsia" w:ascii="宋体" w:hAnsi="宋体" w:cs="宋体"/>
                <w:kern w:val="0"/>
                <w:sz w:val="22"/>
                <w:szCs w:val="22"/>
              </w:rPr>
              <w:t>注4：内镜诊疗人次、呼吸内镜诊疗人次（含内镜下治疗手术，门诊患者和出院患者均包括）。</w:t>
            </w:r>
          </w:p>
          <w:p>
            <w:pPr>
              <w:widowControl/>
              <w:jc w:val="left"/>
              <w:rPr>
                <w:rFonts w:ascii="宋体" w:hAnsi="宋体" w:cs="宋体"/>
                <w:kern w:val="0"/>
                <w:sz w:val="22"/>
                <w:szCs w:val="22"/>
              </w:rPr>
            </w:pPr>
            <w:r>
              <w:rPr>
                <w:rFonts w:hint="eastAsia" w:ascii="宋体" w:hAnsi="宋体" w:cs="宋体"/>
                <w:kern w:val="0"/>
                <w:sz w:val="22"/>
                <w:szCs w:val="22"/>
              </w:rPr>
              <w:br w:type="page"/>
            </w:r>
            <w:r>
              <w:rPr>
                <w:rFonts w:hint="eastAsia" w:ascii="宋体" w:hAnsi="宋体" w:cs="宋体"/>
                <w:kern w:val="0"/>
                <w:sz w:val="22"/>
                <w:szCs w:val="22"/>
              </w:rPr>
              <w:t>注5：心血管内科学和神经内科学及其他有介入治疗的专业可参照手术为主临床专业执行。</w:t>
            </w:r>
            <w:r>
              <w:rPr>
                <w:rFonts w:hint="eastAsia" w:ascii="宋体" w:hAnsi="宋体" w:cs="宋体"/>
                <w:kern w:val="0"/>
                <w:sz w:val="22"/>
                <w:szCs w:val="22"/>
              </w:rPr>
              <w:br w:type="page"/>
            </w:r>
          </w:p>
          <w:p>
            <w:pPr>
              <w:widowControl/>
              <w:jc w:val="left"/>
              <w:rPr>
                <w:rFonts w:ascii="宋体" w:hAnsi="宋体" w:cs="宋体"/>
                <w:kern w:val="0"/>
                <w:sz w:val="22"/>
                <w:szCs w:val="22"/>
              </w:rPr>
            </w:pPr>
            <w:r>
              <w:rPr>
                <w:rFonts w:hint="eastAsia" w:ascii="宋体" w:hAnsi="宋体" w:cs="宋体"/>
                <w:kern w:val="0"/>
                <w:sz w:val="22"/>
                <w:szCs w:val="22"/>
              </w:rPr>
              <w:t>注6：出院患者手术/操作人次晋升副主任医师以主刀或一助计算；晋升主任医师以主刀计算。</w:t>
            </w:r>
          </w:p>
          <w:p>
            <w:pPr>
              <w:widowControl/>
              <w:jc w:val="left"/>
              <w:rPr>
                <w:rFonts w:ascii="宋体" w:hAnsi="宋体" w:cs="宋体"/>
                <w:kern w:val="0"/>
                <w:sz w:val="22"/>
                <w:szCs w:val="22"/>
              </w:rPr>
            </w:pPr>
            <w:r>
              <w:rPr>
                <w:rFonts w:hint="eastAsia" w:ascii="宋体" w:hAnsi="宋体" w:cs="宋体"/>
                <w:kern w:val="0"/>
                <w:sz w:val="22"/>
                <w:szCs w:val="22"/>
              </w:rPr>
              <w:br w:type="page"/>
            </w:r>
            <w:r>
              <w:rPr>
                <w:rFonts w:hint="eastAsia" w:ascii="宋体" w:hAnsi="宋体" w:cs="宋体"/>
                <w:kern w:val="0"/>
                <w:sz w:val="22"/>
                <w:szCs w:val="22"/>
              </w:rPr>
              <w:t>注7：临床医学检验学专业中，形态、血液、微生物等亚专业申报条件为参与诊疗患者人次数，临检、生化、免疫等亚专业的申报条件为签发检查报告份数。</w:t>
            </w:r>
          </w:p>
          <w:p>
            <w:pPr>
              <w:widowControl/>
              <w:jc w:val="left"/>
              <w:rPr>
                <w:rFonts w:ascii="宋体" w:hAnsi="宋体" w:cs="宋体"/>
                <w:kern w:val="0"/>
                <w:sz w:val="22"/>
                <w:szCs w:val="22"/>
              </w:rPr>
            </w:pPr>
            <w:r>
              <w:rPr>
                <w:rFonts w:hint="eastAsia" w:ascii="宋体" w:hAnsi="宋体" w:cs="宋体"/>
                <w:kern w:val="0"/>
                <w:sz w:val="22"/>
                <w:szCs w:val="22"/>
              </w:rPr>
              <w:br w:type="page"/>
            </w:r>
            <w:r>
              <w:rPr>
                <w:rFonts w:hint="eastAsia" w:ascii="宋体" w:hAnsi="宋体" w:cs="宋体"/>
                <w:kern w:val="0"/>
                <w:sz w:val="22"/>
                <w:szCs w:val="22"/>
              </w:rPr>
              <w:t>注8：所填内容须附相应的佐证材料。</w:t>
            </w:r>
          </w:p>
        </w:tc>
      </w:tr>
    </w:tbl>
    <w:p>
      <w:pPr>
        <w:rPr>
          <w:rFonts w:eastAsia="方正仿宋_GBK"/>
          <w:sz w:val="32"/>
          <w:szCs w:val="32"/>
        </w:rPr>
      </w:pPr>
    </w:p>
    <w:sectPr>
      <w:footerReference r:id="rId3" w:type="default"/>
      <w:pgSz w:w="11907" w:h="16840"/>
      <w:pgMar w:top="1701" w:right="1701" w:bottom="1701"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LinTimes">
    <w:altName w:val="Times New Roman"/>
    <w:panose1 w:val="00000000000000000000"/>
    <w:charset w:val="00"/>
    <w:family w:val="auto"/>
    <w:pitch w:val="default"/>
    <w:sig w:usb0="00000000" w:usb1="00000000" w:usb2="00000008" w:usb3="00000000" w:csb0="400001FF" w:csb1="FFFF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99884113"/>
    </w:sdtPr>
    <w:sdtContent>
      <w:p>
        <w:pPr>
          <w:pStyle w:val="7"/>
          <w:jc w:val="center"/>
        </w:pPr>
        <w:r>
          <w:rPr>
            <w:rFonts w:hint="eastAsia" w:ascii="方正仿宋_GBK" w:eastAsia="方正仿宋_GBK"/>
            <w:sz w:val="32"/>
            <w:szCs w:val="32"/>
          </w:rPr>
          <w:fldChar w:fldCharType="begin"/>
        </w:r>
        <w:r>
          <w:rPr>
            <w:rFonts w:hint="eastAsia" w:ascii="方正仿宋_GBK" w:eastAsia="方正仿宋_GBK"/>
            <w:sz w:val="32"/>
            <w:szCs w:val="32"/>
          </w:rPr>
          <w:instrText xml:space="preserve">PAGE   \* MERGEFORMAT</w:instrText>
        </w:r>
        <w:r>
          <w:rPr>
            <w:rFonts w:hint="eastAsia" w:ascii="方正仿宋_GBK" w:eastAsia="方正仿宋_GBK"/>
            <w:sz w:val="32"/>
            <w:szCs w:val="32"/>
          </w:rPr>
          <w:fldChar w:fldCharType="separate"/>
        </w:r>
        <w:r>
          <w:rPr>
            <w:rFonts w:ascii="方正仿宋_GBK" w:eastAsia="方正仿宋_GBK"/>
            <w:sz w:val="32"/>
            <w:szCs w:val="32"/>
            <w:lang w:val="zh-CN"/>
          </w:rPr>
          <w:t>-</w:t>
        </w:r>
        <w:r>
          <w:rPr>
            <w:rFonts w:ascii="方正仿宋_GBK" w:eastAsia="方正仿宋_GBK"/>
            <w:sz w:val="32"/>
            <w:szCs w:val="32"/>
          </w:rPr>
          <w:t xml:space="preserve"> 26 -</w:t>
        </w:r>
        <w:r>
          <w:rPr>
            <w:rFonts w:hint="eastAsia" w:ascii="方正仿宋_GBK" w:eastAsia="方正仿宋_GBK"/>
            <w:sz w:val="32"/>
            <w:szCs w:val="32"/>
          </w:rP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C16F3"/>
    <w:multiLevelType w:val="singleLevel"/>
    <w:tmpl w:val="833C16F3"/>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69A"/>
    <w:rsid w:val="00001467"/>
    <w:rsid w:val="00001D52"/>
    <w:rsid w:val="000022AD"/>
    <w:rsid w:val="00015BF0"/>
    <w:rsid w:val="00016578"/>
    <w:rsid w:val="00020326"/>
    <w:rsid w:val="000246AD"/>
    <w:rsid w:val="00030CA3"/>
    <w:rsid w:val="00031F27"/>
    <w:rsid w:val="00032E04"/>
    <w:rsid w:val="00034AB6"/>
    <w:rsid w:val="00040BD6"/>
    <w:rsid w:val="00041947"/>
    <w:rsid w:val="00046F23"/>
    <w:rsid w:val="0005551B"/>
    <w:rsid w:val="00055C6E"/>
    <w:rsid w:val="00060697"/>
    <w:rsid w:val="0006512C"/>
    <w:rsid w:val="00065623"/>
    <w:rsid w:val="000664A0"/>
    <w:rsid w:val="00066950"/>
    <w:rsid w:val="00067DF4"/>
    <w:rsid w:val="000708AC"/>
    <w:rsid w:val="000714A8"/>
    <w:rsid w:val="00075155"/>
    <w:rsid w:val="0007563C"/>
    <w:rsid w:val="000765AB"/>
    <w:rsid w:val="00077CF7"/>
    <w:rsid w:val="00080C29"/>
    <w:rsid w:val="00080F51"/>
    <w:rsid w:val="000816C7"/>
    <w:rsid w:val="00082172"/>
    <w:rsid w:val="00082678"/>
    <w:rsid w:val="00082B28"/>
    <w:rsid w:val="00083119"/>
    <w:rsid w:val="0008460A"/>
    <w:rsid w:val="00086B0D"/>
    <w:rsid w:val="00087880"/>
    <w:rsid w:val="00087DB5"/>
    <w:rsid w:val="00093824"/>
    <w:rsid w:val="0009393B"/>
    <w:rsid w:val="000941FE"/>
    <w:rsid w:val="0009533C"/>
    <w:rsid w:val="000971E3"/>
    <w:rsid w:val="000A030E"/>
    <w:rsid w:val="000A1028"/>
    <w:rsid w:val="000A2D9C"/>
    <w:rsid w:val="000A38DB"/>
    <w:rsid w:val="000A686D"/>
    <w:rsid w:val="000B3BE0"/>
    <w:rsid w:val="000B72A7"/>
    <w:rsid w:val="000C1052"/>
    <w:rsid w:val="000C1689"/>
    <w:rsid w:val="000C25D6"/>
    <w:rsid w:val="000C5F4D"/>
    <w:rsid w:val="000D0D80"/>
    <w:rsid w:val="000D10E4"/>
    <w:rsid w:val="000D1697"/>
    <w:rsid w:val="000D1B8D"/>
    <w:rsid w:val="000D354D"/>
    <w:rsid w:val="000E063C"/>
    <w:rsid w:val="000E0724"/>
    <w:rsid w:val="000E09DA"/>
    <w:rsid w:val="000E317F"/>
    <w:rsid w:val="000E6FD8"/>
    <w:rsid w:val="000F291A"/>
    <w:rsid w:val="000F2BDF"/>
    <w:rsid w:val="000F7119"/>
    <w:rsid w:val="000F7312"/>
    <w:rsid w:val="00101218"/>
    <w:rsid w:val="001032CA"/>
    <w:rsid w:val="00107951"/>
    <w:rsid w:val="001108C9"/>
    <w:rsid w:val="00112623"/>
    <w:rsid w:val="00112956"/>
    <w:rsid w:val="00113180"/>
    <w:rsid w:val="00113AA5"/>
    <w:rsid w:val="00120310"/>
    <w:rsid w:val="00121BAF"/>
    <w:rsid w:val="00122BA5"/>
    <w:rsid w:val="00125F5B"/>
    <w:rsid w:val="00127FD0"/>
    <w:rsid w:val="00131A9F"/>
    <w:rsid w:val="001330FE"/>
    <w:rsid w:val="001354CA"/>
    <w:rsid w:val="00136DAB"/>
    <w:rsid w:val="00142BBF"/>
    <w:rsid w:val="00142FBB"/>
    <w:rsid w:val="0014548B"/>
    <w:rsid w:val="00146A38"/>
    <w:rsid w:val="00146ADE"/>
    <w:rsid w:val="00151E07"/>
    <w:rsid w:val="0015269A"/>
    <w:rsid w:val="00155185"/>
    <w:rsid w:val="001608BE"/>
    <w:rsid w:val="001632EA"/>
    <w:rsid w:val="00164B12"/>
    <w:rsid w:val="001653F9"/>
    <w:rsid w:val="00171893"/>
    <w:rsid w:val="00171A67"/>
    <w:rsid w:val="00174BBF"/>
    <w:rsid w:val="0017685D"/>
    <w:rsid w:val="001770CE"/>
    <w:rsid w:val="0018211C"/>
    <w:rsid w:val="0019013E"/>
    <w:rsid w:val="00194358"/>
    <w:rsid w:val="0019497C"/>
    <w:rsid w:val="00196C4F"/>
    <w:rsid w:val="001A0CE3"/>
    <w:rsid w:val="001A7160"/>
    <w:rsid w:val="001B3A5A"/>
    <w:rsid w:val="001B5DE5"/>
    <w:rsid w:val="001B6831"/>
    <w:rsid w:val="001C412C"/>
    <w:rsid w:val="001C6DDF"/>
    <w:rsid w:val="001D0B49"/>
    <w:rsid w:val="001D1027"/>
    <w:rsid w:val="001D1049"/>
    <w:rsid w:val="001D491E"/>
    <w:rsid w:val="001D6E5F"/>
    <w:rsid w:val="001E0195"/>
    <w:rsid w:val="001E01EB"/>
    <w:rsid w:val="001E1F1D"/>
    <w:rsid w:val="001E40B0"/>
    <w:rsid w:val="001E660B"/>
    <w:rsid w:val="001E6A24"/>
    <w:rsid w:val="001E747F"/>
    <w:rsid w:val="001F2269"/>
    <w:rsid w:val="001F274A"/>
    <w:rsid w:val="001F6365"/>
    <w:rsid w:val="00202368"/>
    <w:rsid w:val="00203EFD"/>
    <w:rsid w:val="002055EA"/>
    <w:rsid w:val="0021031D"/>
    <w:rsid w:val="00210D4D"/>
    <w:rsid w:val="00214054"/>
    <w:rsid w:val="00220D2C"/>
    <w:rsid w:val="002210FE"/>
    <w:rsid w:val="0022127D"/>
    <w:rsid w:val="00222AC0"/>
    <w:rsid w:val="00222C3F"/>
    <w:rsid w:val="0022313B"/>
    <w:rsid w:val="00225BB4"/>
    <w:rsid w:val="00226D7A"/>
    <w:rsid w:val="00227FFB"/>
    <w:rsid w:val="002317AE"/>
    <w:rsid w:val="0023355E"/>
    <w:rsid w:val="00233EA2"/>
    <w:rsid w:val="00233ED7"/>
    <w:rsid w:val="00236940"/>
    <w:rsid w:val="00237D0C"/>
    <w:rsid w:val="00242CE0"/>
    <w:rsid w:val="0024391F"/>
    <w:rsid w:val="00246EB2"/>
    <w:rsid w:val="00247CAA"/>
    <w:rsid w:val="00250EF2"/>
    <w:rsid w:val="00250FBC"/>
    <w:rsid w:val="002511A0"/>
    <w:rsid w:val="00252C89"/>
    <w:rsid w:val="00254151"/>
    <w:rsid w:val="00261191"/>
    <w:rsid w:val="00262EB1"/>
    <w:rsid w:val="002640A4"/>
    <w:rsid w:val="00272E67"/>
    <w:rsid w:val="0027441F"/>
    <w:rsid w:val="002773B5"/>
    <w:rsid w:val="00277C4C"/>
    <w:rsid w:val="00283B15"/>
    <w:rsid w:val="00285452"/>
    <w:rsid w:val="0028649E"/>
    <w:rsid w:val="0029407E"/>
    <w:rsid w:val="002943AE"/>
    <w:rsid w:val="0029462C"/>
    <w:rsid w:val="002963DD"/>
    <w:rsid w:val="002A00EE"/>
    <w:rsid w:val="002A15EB"/>
    <w:rsid w:val="002A1B7C"/>
    <w:rsid w:val="002B4501"/>
    <w:rsid w:val="002B6559"/>
    <w:rsid w:val="002C1B46"/>
    <w:rsid w:val="002C3325"/>
    <w:rsid w:val="002D0B05"/>
    <w:rsid w:val="002D2A1C"/>
    <w:rsid w:val="002D47CB"/>
    <w:rsid w:val="002D5FCE"/>
    <w:rsid w:val="002E0BA2"/>
    <w:rsid w:val="002E0D62"/>
    <w:rsid w:val="002E2510"/>
    <w:rsid w:val="002E4F36"/>
    <w:rsid w:val="002E719D"/>
    <w:rsid w:val="002E7A38"/>
    <w:rsid w:val="002F149C"/>
    <w:rsid w:val="002F36DD"/>
    <w:rsid w:val="002F555D"/>
    <w:rsid w:val="002F6009"/>
    <w:rsid w:val="002F6451"/>
    <w:rsid w:val="00300FA0"/>
    <w:rsid w:val="00303E16"/>
    <w:rsid w:val="00306D9D"/>
    <w:rsid w:val="003075AD"/>
    <w:rsid w:val="00312429"/>
    <w:rsid w:val="00313318"/>
    <w:rsid w:val="003150E6"/>
    <w:rsid w:val="00316A6B"/>
    <w:rsid w:val="003335E9"/>
    <w:rsid w:val="0033452F"/>
    <w:rsid w:val="003350EB"/>
    <w:rsid w:val="00336517"/>
    <w:rsid w:val="00337375"/>
    <w:rsid w:val="0033762F"/>
    <w:rsid w:val="003534BB"/>
    <w:rsid w:val="00356FDF"/>
    <w:rsid w:val="003607DE"/>
    <w:rsid w:val="00362912"/>
    <w:rsid w:val="003629AF"/>
    <w:rsid w:val="00362FE9"/>
    <w:rsid w:val="00367C89"/>
    <w:rsid w:val="003701A6"/>
    <w:rsid w:val="003729B3"/>
    <w:rsid w:val="00372A87"/>
    <w:rsid w:val="003738E0"/>
    <w:rsid w:val="00374F35"/>
    <w:rsid w:val="00380918"/>
    <w:rsid w:val="00382B0C"/>
    <w:rsid w:val="003870C7"/>
    <w:rsid w:val="003905EE"/>
    <w:rsid w:val="00392FC6"/>
    <w:rsid w:val="00393887"/>
    <w:rsid w:val="003A2072"/>
    <w:rsid w:val="003A6FDC"/>
    <w:rsid w:val="003B03A8"/>
    <w:rsid w:val="003B26A6"/>
    <w:rsid w:val="003B5045"/>
    <w:rsid w:val="003B6E04"/>
    <w:rsid w:val="003C0674"/>
    <w:rsid w:val="003C14A6"/>
    <w:rsid w:val="003C15C6"/>
    <w:rsid w:val="003C6A7F"/>
    <w:rsid w:val="003C6D26"/>
    <w:rsid w:val="003C7802"/>
    <w:rsid w:val="003C7949"/>
    <w:rsid w:val="003D1B90"/>
    <w:rsid w:val="003D406B"/>
    <w:rsid w:val="003D48B5"/>
    <w:rsid w:val="003D7999"/>
    <w:rsid w:val="003E0EC5"/>
    <w:rsid w:val="003E6548"/>
    <w:rsid w:val="003E7CAE"/>
    <w:rsid w:val="003F2E0F"/>
    <w:rsid w:val="003F5723"/>
    <w:rsid w:val="003F7DDD"/>
    <w:rsid w:val="00402C9C"/>
    <w:rsid w:val="004138A8"/>
    <w:rsid w:val="004142EF"/>
    <w:rsid w:val="00414E68"/>
    <w:rsid w:val="00415588"/>
    <w:rsid w:val="00417105"/>
    <w:rsid w:val="00417630"/>
    <w:rsid w:val="00420B66"/>
    <w:rsid w:val="00426320"/>
    <w:rsid w:val="00426A9E"/>
    <w:rsid w:val="004305EE"/>
    <w:rsid w:val="00430B46"/>
    <w:rsid w:val="00435D0D"/>
    <w:rsid w:val="00441C7C"/>
    <w:rsid w:val="00441ED2"/>
    <w:rsid w:val="00442513"/>
    <w:rsid w:val="004444A3"/>
    <w:rsid w:val="00445034"/>
    <w:rsid w:val="00446DDB"/>
    <w:rsid w:val="0045028F"/>
    <w:rsid w:val="0045182E"/>
    <w:rsid w:val="004534E2"/>
    <w:rsid w:val="00453A2A"/>
    <w:rsid w:val="00455D3A"/>
    <w:rsid w:val="00456166"/>
    <w:rsid w:val="004563C5"/>
    <w:rsid w:val="00461CA1"/>
    <w:rsid w:val="004631E0"/>
    <w:rsid w:val="00465492"/>
    <w:rsid w:val="004670F0"/>
    <w:rsid w:val="00471D25"/>
    <w:rsid w:val="00480DF8"/>
    <w:rsid w:val="0048226B"/>
    <w:rsid w:val="0048254D"/>
    <w:rsid w:val="00483DAC"/>
    <w:rsid w:val="00484F23"/>
    <w:rsid w:val="004857DA"/>
    <w:rsid w:val="00486D93"/>
    <w:rsid w:val="00487747"/>
    <w:rsid w:val="00487A94"/>
    <w:rsid w:val="004909B4"/>
    <w:rsid w:val="004955BB"/>
    <w:rsid w:val="004A35CC"/>
    <w:rsid w:val="004A4C11"/>
    <w:rsid w:val="004B0285"/>
    <w:rsid w:val="004B24E6"/>
    <w:rsid w:val="004B2C8E"/>
    <w:rsid w:val="004B44D7"/>
    <w:rsid w:val="004B527B"/>
    <w:rsid w:val="004B56E8"/>
    <w:rsid w:val="004B578F"/>
    <w:rsid w:val="004B7C5E"/>
    <w:rsid w:val="004C2BE2"/>
    <w:rsid w:val="004C4A1A"/>
    <w:rsid w:val="004C5B1A"/>
    <w:rsid w:val="004C7996"/>
    <w:rsid w:val="004D1874"/>
    <w:rsid w:val="004D5D84"/>
    <w:rsid w:val="004E16CD"/>
    <w:rsid w:val="004E31C8"/>
    <w:rsid w:val="004E45A8"/>
    <w:rsid w:val="004E56D4"/>
    <w:rsid w:val="004F7F54"/>
    <w:rsid w:val="005001F7"/>
    <w:rsid w:val="00501949"/>
    <w:rsid w:val="0050385A"/>
    <w:rsid w:val="00503A53"/>
    <w:rsid w:val="005061C4"/>
    <w:rsid w:val="0051260B"/>
    <w:rsid w:val="00514D17"/>
    <w:rsid w:val="0052079C"/>
    <w:rsid w:val="00521A7C"/>
    <w:rsid w:val="0052219A"/>
    <w:rsid w:val="00523237"/>
    <w:rsid w:val="00527C9B"/>
    <w:rsid w:val="00532B7E"/>
    <w:rsid w:val="005340B8"/>
    <w:rsid w:val="00536B33"/>
    <w:rsid w:val="0053750B"/>
    <w:rsid w:val="005375B1"/>
    <w:rsid w:val="00540C8D"/>
    <w:rsid w:val="00546C91"/>
    <w:rsid w:val="0054769C"/>
    <w:rsid w:val="005479CB"/>
    <w:rsid w:val="005502B3"/>
    <w:rsid w:val="0055091E"/>
    <w:rsid w:val="005537FE"/>
    <w:rsid w:val="00555A47"/>
    <w:rsid w:val="00555FF7"/>
    <w:rsid w:val="0055681A"/>
    <w:rsid w:val="00560D5D"/>
    <w:rsid w:val="005623B6"/>
    <w:rsid w:val="005632DB"/>
    <w:rsid w:val="00567E13"/>
    <w:rsid w:val="00572A72"/>
    <w:rsid w:val="0057546E"/>
    <w:rsid w:val="00576541"/>
    <w:rsid w:val="005779FC"/>
    <w:rsid w:val="00587274"/>
    <w:rsid w:val="005873E9"/>
    <w:rsid w:val="00587BE4"/>
    <w:rsid w:val="00593949"/>
    <w:rsid w:val="00595298"/>
    <w:rsid w:val="0059621C"/>
    <w:rsid w:val="005A0ED3"/>
    <w:rsid w:val="005A2108"/>
    <w:rsid w:val="005A36B5"/>
    <w:rsid w:val="005A45B3"/>
    <w:rsid w:val="005A590E"/>
    <w:rsid w:val="005B0E9D"/>
    <w:rsid w:val="005B65A2"/>
    <w:rsid w:val="005B7EF7"/>
    <w:rsid w:val="005C0898"/>
    <w:rsid w:val="005C20A5"/>
    <w:rsid w:val="005C2C0C"/>
    <w:rsid w:val="005C7BC3"/>
    <w:rsid w:val="005D123E"/>
    <w:rsid w:val="005D155C"/>
    <w:rsid w:val="005D2469"/>
    <w:rsid w:val="005D5F3C"/>
    <w:rsid w:val="005D76BA"/>
    <w:rsid w:val="005D7925"/>
    <w:rsid w:val="005E0C98"/>
    <w:rsid w:val="005E0CFE"/>
    <w:rsid w:val="005E2740"/>
    <w:rsid w:val="005E2A1F"/>
    <w:rsid w:val="005E3A7E"/>
    <w:rsid w:val="005F0270"/>
    <w:rsid w:val="005F0619"/>
    <w:rsid w:val="005F1857"/>
    <w:rsid w:val="005F4E1B"/>
    <w:rsid w:val="005F6B0E"/>
    <w:rsid w:val="0060240B"/>
    <w:rsid w:val="00603D0C"/>
    <w:rsid w:val="006041A9"/>
    <w:rsid w:val="00604553"/>
    <w:rsid w:val="00607701"/>
    <w:rsid w:val="00610AE7"/>
    <w:rsid w:val="00611D5B"/>
    <w:rsid w:val="006158A6"/>
    <w:rsid w:val="00617FB4"/>
    <w:rsid w:val="006202E3"/>
    <w:rsid w:val="006212FC"/>
    <w:rsid w:val="006216EE"/>
    <w:rsid w:val="00624FF9"/>
    <w:rsid w:val="00625021"/>
    <w:rsid w:val="006263CC"/>
    <w:rsid w:val="006312C3"/>
    <w:rsid w:val="006331E0"/>
    <w:rsid w:val="006341F9"/>
    <w:rsid w:val="0063699C"/>
    <w:rsid w:val="00636BAB"/>
    <w:rsid w:val="0063743C"/>
    <w:rsid w:val="00640062"/>
    <w:rsid w:val="00643F30"/>
    <w:rsid w:val="00647C9C"/>
    <w:rsid w:val="00650AED"/>
    <w:rsid w:val="00654D64"/>
    <w:rsid w:val="006559F3"/>
    <w:rsid w:val="00655FF2"/>
    <w:rsid w:val="00657B5F"/>
    <w:rsid w:val="00661979"/>
    <w:rsid w:val="006632FB"/>
    <w:rsid w:val="0066657C"/>
    <w:rsid w:val="0066790B"/>
    <w:rsid w:val="00667C53"/>
    <w:rsid w:val="00667D82"/>
    <w:rsid w:val="00667DD5"/>
    <w:rsid w:val="006721EA"/>
    <w:rsid w:val="00674DCC"/>
    <w:rsid w:val="006803E8"/>
    <w:rsid w:val="00681C0E"/>
    <w:rsid w:val="00681CED"/>
    <w:rsid w:val="00681DCB"/>
    <w:rsid w:val="00685089"/>
    <w:rsid w:val="00686043"/>
    <w:rsid w:val="006933F3"/>
    <w:rsid w:val="00695F3E"/>
    <w:rsid w:val="006961A6"/>
    <w:rsid w:val="006A191C"/>
    <w:rsid w:val="006A1931"/>
    <w:rsid w:val="006A6CC7"/>
    <w:rsid w:val="006A6EA6"/>
    <w:rsid w:val="006A72AB"/>
    <w:rsid w:val="006B0EC1"/>
    <w:rsid w:val="006B4B76"/>
    <w:rsid w:val="006B5D82"/>
    <w:rsid w:val="006B5DFB"/>
    <w:rsid w:val="006B6A14"/>
    <w:rsid w:val="006B6CDA"/>
    <w:rsid w:val="006B7B93"/>
    <w:rsid w:val="006C38A5"/>
    <w:rsid w:val="006C5A5F"/>
    <w:rsid w:val="006C6070"/>
    <w:rsid w:val="006D0B4A"/>
    <w:rsid w:val="006D3D47"/>
    <w:rsid w:val="006D6F10"/>
    <w:rsid w:val="006D7A05"/>
    <w:rsid w:val="006E0608"/>
    <w:rsid w:val="006E1E79"/>
    <w:rsid w:val="006E5356"/>
    <w:rsid w:val="006F3BD1"/>
    <w:rsid w:val="006F3FCC"/>
    <w:rsid w:val="007001A2"/>
    <w:rsid w:val="00702441"/>
    <w:rsid w:val="007067AE"/>
    <w:rsid w:val="0070774F"/>
    <w:rsid w:val="00711F93"/>
    <w:rsid w:val="007120B0"/>
    <w:rsid w:val="007139B0"/>
    <w:rsid w:val="00714C94"/>
    <w:rsid w:val="0072127D"/>
    <w:rsid w:val="00723EB4"/>
    <w:rsid w:val="00724D54"/>
    <w:rsid w:val="0073411E"/>
    <w:rsid w:val="0073491E"/>
    <w:rsid w:val="00736238"/>
    <w:rsid w:val="0073743C"/>
    <w:rsid w:val="007405D9"/>
    <w:rsid w:val="00744A4D"/>
    <w:rsid w:val="0075000A"/>
    <w:rsid w:val="00752284"/>
    <w:rsid w:val="00754D10"/>
    <w:rsid w:val="007563A2"/>
    <w:rsid w:val="00756971"/>
    <w:rsid w:val="00760D6E"/>
    <w:rsid w:val="00764F58"/>
    <w:rsid w:val="00766652"/>
    <w:rsid w:val="00772572"/>
    <w:rsid w:val="00774945"/>
    <w:rsid w:val="0077621C"/>
    <w:rsid w:val="00794AFD"/>
    <w:rsid w:val="00795D21"/>
    <w:rsid w:val="00797A54"/>
    <w:rsid w:val="007A6A1A"/>
    <w:rsid w:val="007B2866"/>
    <w:rsid w:val="007B2EB8"/>
    <w:rsid w:val="007B51CB"/>
    <w:rsid w:val="007B5AF4"/>
    <w:rsid w:val="007C1D0C"/>
    <w:rsid w:val="007C3A62"/>
    <w:rsid w:val="007C4DB1"/>
    <w:rsid w:val="007C4E70"/>
    <w:rsid w:val="007C54D7"/>
    <w:rsid w:val="007C7E39"/>
    <w:rsid w:val="007D14F0"/>
    <w:rsid w:val="007D73E0"/>
    <w:rsid w:val="007E1472"/>
    <w:rsid w:val="007E3AE3"/>
    <w:rsid w:val="007E5917"/>
    <w:rsid w:val="007E63ED"/>
    <w:rsid w:val="007E7EF7"/>
    <w:rsid w:val="007F125F"/>
    <w:rsid w:val="007F49B9"/>
    <w:rsid w:val="007F7AD2"/>
    <w:rsid w:val="007F7D6B"/>
    <w:rsid w:val="00804C10"/>
    <w:rsid w:val="008052EB"/>
    <w:rsid w:val="00806276"/>
    <w:rsid w:val="00806737"/>
    <w:rsid w:val="008100A9"/>
    <w:rsid w:val="00810B38"/>
    <w:rsid w:val="00811A0F"/>
    <w:rsid w:val="00814960"/>
    <w:rsid w:val="00816352"/>
    <w:rsid w:val="00816D05"/>
    <w:rsid w:val="00817AF4"/>
    <w:rsid w:val="00820D97"/>
    <w:rsid w:val="008214D1"/>
    <w:rsid w:val="00821570"/>
    <w:rsid w:val="00825930"/>
    <w:rsid w:val="008263EB"/>
    <w:rsid w:val="008366E7"/>
    <w:rsid w:val="00837123"/>
    <w:rsid w:val="00844E12"/>
    <w:rsid w:val="008474B1"/>
    <w:rsid w:val="00847E2F"/>
    <w:rsid w:val="00853609"/>
    <w:rsid w:val="0086107E"/>
    <w:rsid w:val="008642E0"/>
    <w:rsid w:val="0086448F"/>
    <w:rsid w:val="00864FC6"/>
    <w:rsid w:val="008673CA"/>
    <w:rsid w:val="00871EFB"/>
    <w:rsid w:val="00876B9B"/>
    <w:rsid w:val="00880992"/>
    <w:rsid w:val="00887B8B"/>
    <w:rsid w:val="00891BAE"/>
    <w:rsid w:val="00893EDB"/>
    <w:rsid w:val="00894019"/>
    <w:rsid w:val="00897F0A"/>
    <w:rsid w:val="008A1EB4"/>
    <w:rsid w:val="008A48E7"/>
    <w:rsid w:val="008A54D5"/>
    <w:rsid w:val="008B3AAA"/>
    <w:rsid w:val="008B702B"/>
    <w:rsid w:val="008B752A"/>
    <w:rsid w:val="008C01FB"/>
    <w:rsid w:val="008C1246"/>
    <w:rsid w:val="008C1873"/>
    <w:rsid w:val="008C2D44"/>
    <w:rsid w:val="008C7AC8"/>
    <w:rsid w:val="008D0C1D"/>
    <w:rsid w:val="008D0CF0"/>
    <w:rsid w:val="008D1992"/>
    <w:rsid w:val="008D39E3"/>
    <w:rsid w:val="008D4D87"/>
    <w:rsid w:val="008D6BBA"/>
    <w:rsid w:val="008E08D2"/>
    <w:rsid w:val="008E282C"/>
    <w:rsid w:val="008E4C44"/>
    <w:rsid w:val="008E782E"/>
    <w:rsid w:val="008F0D78"/>
    <w:rsid w:val="008F0ECB"/>
    <w:rsid w:val="008F385F"/>
    <w:rsid w:val="008F3B4D"/>
    <w:rsid w:val="008F4FDC"/>
    <w:rsid w:val="008F6F75"/>
    <w:rsid w:val="00901EA5"/>
    <w:rsid w:val="0090454A"/>
    <w:rsid w:val="00907239"/>
    <w:rsid w:val="0091173A"/>
    <w:rsid w:val="00913E5F"/>
    <w:rsid w:val="00914D4E"/>
    <w:rsid w:val="0092257F"/>
    <w:rsid w:val="009259FA"/>
    <w:rsid w:val="00926CEA"/>
    <w:rsid w:val="00932684"/>
    <w:rsid w:val="00936BF0"/>
    <w:rsid w:val="0094169C"/>
    <w:rsid w:val="00943899"/>
    <w:rsid w:val="009455D1"/>
    <w:rsid w:val="00947F70"/>
    <w:rsid w:val="009501ED"/>
    <w:rsid w:val="00950385"/>
    <w:rsid w:val="009540B2"/>
    <w:rsid w:val="0095571B"/>
    <w:rsid w:val="00955A09"/>
    <w:rsid w:val="009564C0"/>
    <w:rsid w:val="00957679"/>
    <w:rsid w:val="00965FDB"/>
    <w:rsid w:val="0097419C"/>
    <w:rsid w:val="009750F2"/>
    <w:rsid w:val="0097666D"/>
    <w:rsid w:val="009775EC"/>
    <w:rsid w:val="0098212E"/>
    <w:rsid w:val="00986736"/>
    <w:rsid w:val="00993AD6"/>
    <w:rsid w:val="00995AED"/>
    <w:rsid w:val="00995DA8"/>
    <w:rsid w:val="009968F4"/>
    <w:rsid w:val="009A60CA"/>
    <w:rsid w:val="009B46AD"/>
    <w:rsid w:val="009B4EB0"/>
    <w:rsid w:val="009B4F10"/>
    <w:rsid w:val="009C4AE0"/>
    <w:rsid w:val="009C52F7"/>
    <w:rsid w:val="009C5A68"/>
    <w:rsid w:val="009D25CB"/>
    <w:rsid w:val="009D2F8C"/>
    <w:rsid w:val="009D4445"/>
    <w:rsid w:val="009D4A44"/>
    <w:rsid w:val="009D704C"/>
    <w:rsid w:val="009E1E9E"/>
    <w:rsid w:val="009E2A6B"/>
    <w:rsid w:val="009E4EB0"/>
    <w:rsid w:val="009E5E4B"/>
    <w:rsid w:val="009E6822"/>
    <w:rsid w:val="009E7FEC"/>
    <w:rsid w:val="009F0256"/>
    <w:rsid w:val="009F19EB"/>
    <w:rsid w:val="009F26CE"/>
    <w:rsid w:val="009F302E"/>
    <w:rsid w:val="009F5AD7"/>
    <w:rsid w:val="009F5DC0"/>
    <w:rsid w:val="009F6FA9"/>
    <w:rsid w:val="00A0038A"/>
    <w:rsid w:val="00A03126"/>
    <w:rsid w:val="00A03329"/>
    <w:rsid w:val="00A10736"/>
    <w:rsid w:val="00A14C3C"/>
    <w:rsid w:val="00A1574F"/>
    <w:rsid w:val="00A163FA"/>
    <w:rsid w:val="00A20FCC"/>
    <w:rsid w:val="00A25CCB"/>
    <w:rsid w:val="00A261FB"/>
    <w:rsid w:val="00A348FD"/>
    <w:rsid w:val="00A37AD2"/>
    <w:rsid w:val="00A37FFC"/>
    <w:rsid w:val="00A4002D"/>
    <w:rsid w:val="00A42729"/>
    <w:rsid w:val="00A46B60"/>
    <w:rsid w:val="00A47829"/>
    <w:rsid w:val="00A6167C"/>
    <w:rsid w:val="00A63856"/>
    <w:rsid w:val="00A734F6"/>
    <w:rsid w:val="00A748F0"/>
    <w:rsid w:val="00A7501A"/>
    <w:rsid w:val="00A76D73"/>
    <w:rsid w:val="00A77609"/>
    <w:rsid w:val="00A778AA"/>
    <w:rsid w:val="00A832ED"/>
    <w:rsid w:val="00A83F93"/>
    <w:rsid w:val="00A84583"/>
    <w:rsid w:val="00A87372"/>
    <w:rsid w:val="00A9094A"/>
    <w:rsid w:val="00A9202C"/>
    <w:rsid w:val="00A94685"/>
    <w:rsid w:val="00AA3469"/>
    <w:rsid w:val="00AA682A"/>
    <w:rsid w:val="00AB11CC"/>
    <w:rsid w:val="00AB196F"/>
    <w:rsid w:val="00AB2E2B"/>
    <w:rsid w:val="00AB4857"/>
    <w:rsid w:val="00AB4CFF"/>
    <w:rsid w:val="00AB58B6"/>
    <w:rsid w:val="00AB6878"/>
    <w:rsid w:val="00AC222C"/>
    <w:rsid w:val="00AC331E"/>
    <w:rsid w:val="00AC45E0"/>
    <w:rsid w:val="00AC6DE3"/>
    <w:rsid w:val="00AC7443"/>
    <w:rsid w:val="00AD5CE7"/>
    <w:rsid w:val="00AD5D9E"/>
    <w:rsid w:val="00AE4441"/>
    <w:rsid w:val="00AE7144"/>
    <w:rsid w:val="00AF0876"/>
    <w:rsid w:val="00AF12C8"/>
    <w:rsid w:val="00AF3DAC"/>
    <w:rsid w:val="00AF412F"/>
    <w:rsid w:val="00B02084"/>
    <w:rsid w:val="00B028C6"/>
    <w:rsid w:val="00B05BB4"/>
    <w:rsid w:val="00B10085"/>
    <w:rsid w:val="00B14536"/>
    <w:rsid w:val="00B15FAA"/>
    <w:rsid w:val="00B20EEF"/>
    <w:rsid w:val="00B212BC"/>
    <w:rsid w:val="00B2164B"/>
    <w:rsid w:val="00B2359F"/>
    <w:rsid w:val="00B2704C"/>
    <w:rsid w:val="00B270CD"/>
    <w:rsid w:val="00B33B60"/>
    <w:rsid w:val="00B3760A"/>
    <w:rsid w:val="00B406E0"/>
    <w:rsid w:val="00B42364"/>
    <w:rsid w:val="00B42FC3"/>
    <w:rsid w:val="00B435EF"/>
    <w:rsid w:val="00B43EAB"/>
    <w:rsid w:val="00B46218"/>
    <w:rsid w:val="00B47F0F"/>
    <w:rsid w:val="00B5214E"/>
    <w:rsid w:val="00B57D38"/>
    <w:rsid w:val="00B65000"/>
    <w:rsid w:val="00B65295"/>
    <w:rsid w:val="00B6590B"/>
    <w:rsid w:val="00B7138B"/>
    <w:rsid w:val="00B72D6D"/>
    <w:rsid w:val="00B77B1B"/>
    <w:rsid w:val="00B832F5"/>
    <w:rsid w:val="00B834C4"/>
    <w:rsid w:val="00B849B3"/>
    <w:rsid w:val="00B86AAB"/>
    <w:rsid w:val="00B91072"/>
    <w:rsid w:val="00B911ED"/>
    <w:rsid w:val="00B92545"/>
    <w:rsid w:val="00B93240"/>
    <w:rsid w:val="00B96F8A"/>
    <w:rsid w:val="00BA359B"/>
    <w:rsid w:val="00BA66DF"/>
    <w:rsid w:val="00BA6BC8"/>
    <w:rsid w:val="00BA7280"/>
    <w:rsid w:val="00BB16DD"/>
    <w:rsid w:val="00BB4CD1"/>
    <w:rsid w:val="00BB56DD"/>
    <w:rsid w:val="00BB6DFC"/>
    <w:rsid w:val="00BC04E1"/>
    <w:rsid w:val="00BC38CD"/>
    <w:rsid w:val="00BC3A73"/>
    <w:rsid w:val="00BD3302"/>
    <w:rsid w:val="00BD39CB"/>
    <w:rsid w:val="00BE1F16"/>
    <w:rsid w:val="00BE2530"/>
    <w:rsid w:val="00BE2A69"/>
    <w:rsid w:val="00BF0E06"/>
    <w:rsid w:val="00BF1C46"/>
    <w:rsid w:val="00BF2E22"/>
    <w:rsid w:val="00BF3DB1"/>
    <w:rsid w:val="00BF424F"/>
    <w:rsid w:val="00BF48AF"/>
    <w:rsid w:val="00C02EB0"/>
    <w:rsid w:val="00C03147"/>
    <w:rsid w:val="00C0316F"/>
    <w:rsid w:val="00C07853"/>
    <w:rsid w:val="00C1376F"/>
    <w:rsid w:val="00C20A28"/>
    <w:rsid w:val="00C23077"/>
    <w:rsid w:val="00C23B7C"/>
    <w:rsid w:val="00C30FBC"/>
    <w:rsid w:val="00C32CFE"/>
    <w:rsid w:val="00C366DF"/>
    <w:rsid w:val="00C37EBD"/>
    <w:rsid w:val="00C4023A"/>
    <w:rsid w:val="00C41BF7"/>
    <w:rsid w:val="00C42661"/>
    <w:rsid w:val="00C4285F"/>
    <w:rsid w:val="00C469E4"/>
    <w:rsid w:val="00C5003F"/>
    <w:rsid w:val="00C50C15"/>
    <w:rsid w:val="00C52234"/>
    <w:rsid w:val="00C566DB"/>
    <w:rsid w:val="00C60570"/>
    <w:rsid w:val="00C60C2D"/>
    <w:rsid w:val="00C65363"/>
    <w:rsid w:val="00C66159"/>
    <w:rsid w:val="00C666A3"/>
    <w:rsid w:val="00C70D29"/>
    <w:rsid w:val="00C70D6C"/>
    <w:rsid w:val="00C740AD"/>
    <w:rsid w:val="00C742BB"/>
    <w:rsid w:val="00C812C3"/>
    <w:rsid w:val="00C81465"/>
    <w:rsid w:val="00C84C05"/>
    <w:rsid w:val="00C866F6"/>
    <w:rsid w:val="00C8671A"/>
    <w:rsid w:val="00C86CF0"/>
    <w:rsid w:val="00C92E7A"/>
    <w:rsid w:val="00C976A5"/>
    <w:rsid w:val="00CA60F7"/>
    <w:rsid w:val="00CB266C"/>
    <w:rsid w:val="00CB3B12"/>
    <w:rsid w:val="00CB6257"/>
    <w:rsid w:val="00CC25E2"/>
    <w:rsid w:val="00CC2DB0"/>
    <w:rsid w:val="00CC4A27"/>
    <w:rsid w:val="00CC67D7"/>
    <w:rsid w:val="00CC6D8B"/>
    <w:rsid w:val="00CD029C"/>
    <w:rsid w:val="00CD5719"/>
    <w:rsid w:val="00CD5FBD"/>
    <w:rsid w:val="00CE03C7"/>
    <w:rsid w:val="00CE4A44"/>
    <w:rsid w:val="00CE7A12"/>
    <w:rsid w:val="00CF1568"/>
    <w:rsid w:val="00CF29A5"/>
    <w:rsid w:val="00CF3FF9"/>
    <w:rsid w:val="00D020A5"/>
    <w:rsid w:val="00D03254"/>
    <w:rsid w:val="00D03449"/>
    <w:rsid w:val="00D05332"/>
    <w:rsid w:val="00D10AA0"/>
    <w:rsid w:val="00D17677"/>
    <w:rsid w:val="00D177C6"/>
    <w:rsid w:val="00D41088"/>
    <w:rsid w:val="00D42273"/>
    <w:rsid w:val="00D47615"/>
    <w:rsid w:val="00D564EB"/>
    <w:rsid w:val="00D56FFB"/>
    <w:rsid w:val="00D6144D"/>
    <w:rsid w:val="00D616A7"/>
    <w:rsid w:val="00D635EA"/>
    <w:rsid w:val="00D63FFA"/>
    <w:rsid w:val="00D6504E"/>
    <w:rsid w:val="00D670BE"/>
    <w:rsid w:val="00D70111"/>
    <w:rsid w:val="00D71386"/>
    <w:rsid w:val="00D7355C"/>
    <w:rsid w:val="00D73B8F"/>
    <w:rsid w:val="00D73E2B"/>
    <w:rsid w:val="00D74EC2"/>
    <w:rsid w:val="00D77D1F"/>
    <w:rsid w:val="00D80EB0"/>
    <w:rsid w:val="00D829E0"/>
    <w:rsid w:val="00D82DF7"/>
    <w:rsid w:val="00D855EE"/>
    <w:rsid w:val="00D86127"/>
    <w:rsid w:val="00D8728B"/>
    <w:rsid w:val="00D90AD8"/>
    <w:rsid w:val="00D91786"/>
    <w:rsid w:val="00D91800"/>
    <w:rsid w:val="00D976E8"/>
    <w:rsid w:val="00D97D80"/>
    <w:rsid w:val="00DA2C35"/>
    <w:rsid w:val="00DA4FCE"/>
    <w:rsid w:val="00DB30A9"/>
    <w:rsid w:val="00DB4574"/>
    <w:rsid w:val="00DB4F7D"/>
    <w:rsid w:val="00DC1DDD"/>
    <w:rsid w:val="00DC1E04"/>
    <w:rsid w:val="00DC5F10"/>
    <w:rsid w:val="00DC6AB0"/>
    <w:rsid w:val="00DD4B03"/>
    <w:rsid w:val="00DD5689"/>
    <w:rsid w:val="00DE3B49"/>
    <w:rsid w:val="00DE3F6F"/>
    <w:rsid w:val="00DF0D40"/>
    <w:rsid w:val="00DF3993"/>
    <w:rsid w:val="00DF41E2"/>
    <w:rsid w:val="00DF4644"/>
    <w:rsid w:val="00E00094"/>
    <w:rsid w:val="00E00891"/>
    <w:rsid w:val="00E00D00"/>
    <w:rsid w:val="00E05E36"/>
    <w:rsid w:val="00E1037C"/>
    <w:rsid w:val="00E131C7"/>
    <w:rsid w:val="00E15EF1"/>
    <w:rsid w:val="00E2338D"/>
    <w:rsid w:val="00E30969"/>
    <w:rsid w:val="00E30CD9"/>
    <w:rsid w:val="00E30D87"/>
    <w:rsid w:val="00E33E89"/>
    <w:rsid w:val="00E34493"/>
    <w:rsid w:val="00E358E9"/>
    <w:rsid w:val="00E40B08"/>
    <w:rsid w:val="00E41C80"/>
    <w:rsid w:val="00E42307"/>
    <w:rsid w:val="00E424F4"/>
    <w:rsid w:val="00E427AA"/>
    <w:rsid w:val="00E43B32"/>
    <w:rsid w:val="00E45A52"/>
    <w:rsid w:val="00E46DCB"/>
    <w:rsid w:val="00E473CC"/>
    <w:rsid w:val="00E478B3"/>
    <w:rsid w:val="00E51CBD"/>
    <w:rsid w:val="00E538B5"/>
    <w:rsid w:val="00E542EE"/>
    <w:rsid w:val="00E5508F"/>
    <w:rsid w:val="00E55EE5"/>
    <w:rsid w:val="00E56519"/>
    <w:rsid w:val="00E570C9"/>
    <w:rsid w:val="00E57654"/>
    <w:rsid w:val="00E6000E"/>
    <w:rsid w:val="00E61274"/>
    <w:rsid w:val="00E63EBB"/>
    <w:rsid w:val="00E66734"/>
    <w:rsid w:val="00E67A08"/>
    <w:rsid w:val="00E67B42"/>
    <w:rsid w:val="00E71054"/>
    <w:rsid w:val="00E76B62"/>
    <w:rsid w:val="00E770DB"/>
    <w:rsid w:val="00E86F13"/>
    <w:rsid w:val="00E9072C"/>
    <w:rsid w:val="00E92382"/>
    <w:rsid w:val="00E92ABC"/>
    <w:rsid w:val="00E935C3"/>
    <w:rsid w:val="00E93762"/>
    <w:rsid w:val="00E93C01"/>
    <w:rsid w:val="00E93DC2"/>
    <w:rsid w:val="00E9518F"/>
    <w:rsid w:val="00E972D4"/>
    <w:rsid w:val="00EA0E02"/>
    <w:rsid w:val="00EA12EE"/>
    <w:rsid w:val="00EA200A"/>
    <w:rsid w:val="00EA210A"/>
    <w:rsid w:val="00EA3363"/>
    <w:rsid w:val="00EA5B5C"/>
    <w:rsid w:val="00EB0333"/>
    <w:rsid w:val="00EB4CAB"/>
    <w:rsid w:val="00EB56AA"/>
    <w:rsid w:val="00EB70BF"/>
    <w:rsid w:val="00EC16EC"/>
    <w:rsid w:val="00EC1DD2"/>
    <w:rsid w:val="00EC3DA3"/>
    <w:rsid w:val="00ED06CF"/>
    <w:rsid w:val="00ED28C9"/>
    <w:rsid w:val="00ED7D36"/>
    <w:rsid w:val="00EE2845"/>
    <w:rsid w:val="00EF0819"/>
    <w:rsid w:val="00EF4CAF"/>
    <w:rsid w:val="00EF6349"/>
    <w:rsid w:val="00F015E9"/>
    <w:rsid w:val="00F03B6E"/>
    <w:rsid w:val="00F05364"/>
    <w:rsid w:val="00F055EB"/>
    <w:rsid w:val="00F070F1"/>
    <w:rsid w:val="00F116B0"/>
    <w:rsid w:val="00F1293B"/>
    <w:rsid w:val="00F13CF5"/>
    <w:rsid w:val="00F14162"/>
    <w:rsid w:val="00F14881"/>
    <w:rsid w:val="00F15AF6"/>
    <w:rsid w:val="00F17DB7"/>
    <w:rsid w:val="00F22253"/>
    <w:rsid w:val="00F22F9E"/>
    <w:rsid w:val="00F23F15"/>
    <w:rsid w:val="00F24215"/>
    <w:rsid w:val="00F2594B"/>
    <w:rsid w:val="00F26285"/>
    <w:rsid w:val="00F27247"/>
    <w:rsid w:val="00F307FE"/>
    <w:rsid w:val="00F31489"/>
    <w:rsid w:val="00F328A9"/>
    <w:rsid w:val="00F33053"/>
    <w:rsid w:val="00F3327B"/>
    <w:rsid w:val="00F3366C"/>
    <w:rsid w:val="00F34E97"/>
    <w:rsid w:val="00F3653C"/>
    <w:rsid w:val="00F37BC5"/>
    <w:rsid w:val="00F4728B"/>
    <w:rsid w:val="00F5295E"/>
    <w:rsid w:val="00F55075"/>
    <w:rsid w:val="00F660EC"/>
    <w:rsid w:val="00F675F8"/>
    <w:rsid w:val="00F67CC8"/>
    <w:rsid w:val="00F70B53"/>
    <w:rsid w:val="00F7409F"/>
    <w:rsid w:val="00F74CD6"/>
    <w:rsid w:val="00F74DCE"/>
    <w:rsid w:val="00F7582E"/>
    <w:rsid w:val="00F76255"/>
    <w:rsid w:val="00F815E2"/>
    <w:rsid w:val="00F83C02"/>
    <w:rsid w:val="00F84F0F"/>
    <w:rsid w:val="00F85DCA"/>
    <w:rsid w:val="00F90283"/>
    <w:rsid w:val="00F9374D"/>
    <w:rsid w:val="00F93C54"/>
    <w:rsid w:val="00F94921"/>
    <w:rsid w:val="00F96BD4"/>
    <w:rsid w:val="00F96C4F"/>
    <w:rsid w:val="00F972C9"/>
    <w:rsid w:val="00FA307C"/>
    <w:rsid w:val="00FA3A03"/>
    <w:rsid w:val="00FA5B58"/>
    <w:rsid w:val="00FA7ABC"/>
    <w:rsid w:val="00FB001D"/>
    <w:rsid w:val="00FB0C1D"/>
    <w:rsid w:val="00FB49E4"/>
    <w:rsid w:val="00FC00C1"/>
    <w:rsid w:val="00FC5867"/>
    <w:rsid w:val="00FD15E0"/>
    <w:rsid w:val="00FD1AD3"/>
    <w:rsid w:val="00FD1EA5"/>
    <w:rsid w:val="00FD28C0"/>
    <w:rsid w:val="00FD3F2E"/>
    <w:rsid w:val="00FD650E"/>
    <w:rsid w:val="00FD6635"/>
    <w:rsid w:val="00FD755F"/>
    <w:rsid w:val="00FF1FFF"/>
    <w:rsid w:val="00FF27AA"/>
    <w:rsid w:val="00FF2C61"/>
    <w:rsid w:val="00FF3A05"/>
    <w:rsid w:val="00FF4834"/>
    <w:rsid w:val="00FF6E90"/>
    <w:rsid w:val="087257CB"/>
    <w:rsid w:val="0C431407"/>
    <w:rsid w:val="0C9374A2"/>
    <w:rsid w:val="0D4A670E"/>
    <w:rsid w:val="1CE42BDF"/>
    <w:rsid w:val="207D5650"/>
    <w:rsid w:val="21D67B77"/>
    <w:rsid w:val="282149A6"/>
    <w:rsid w:val="2EC4798E"/>
    <w:rsid w:val="326162E8"/>
    <w:rsid w:val="3546407D"/>
    <w:rsid w:val="3D732DEB"/>
    <w:rsid w:val="43AA70A9"/>
    <w:rsid w:val="45C61875"/>
    <w:rsid w:val="4AD55B10"/>
    <w:rsid w:val="4BE86FBE"/>
    <w:rsid w:val="4EF33D31"/>
    <w:rsid w:val="510F3DD6"/>
    <w:rsid w:val="51914542"/>
    <w:rsid w:val="528B25AE"/>
    <w:rsid w:val="54EA55DA"/>
    <w:rsid w:val="574B19B8"/>
    <w:rsid w:val="58417576"/>
    <w:rsid w:val="5D451136"/>
    <w:rsid w:val="625E6DCB"/>
    <w:rsid w:val="78EE354C"/>
    <w:rsid w:val="7AF479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widowControl/>
      <w:spacing w:before="100" w:beforeAutospacing="1" w:after="100" w:afterAutospacing="1"/>
      <w:jc w:val="left"/>
      <w:outlineLvl w:val="3"/>
    </w:pPr>
    <w:rPr>
      <w:rFonts w:ascii="宋体" w:hAnsi="宋体"/>
      <w:b/>
      <w:bCs/>
      <w:kern w:val="0"/>
      <w:sz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0"/>
    <w:semiHidden/>
    <w:unhideWhenUsed/>
    <w:qFormat/>
    <w:uiPriority w:val="0"/>
    <w:pPr>
      <w:spacing w:after="120"/>
    </w:pPr>
  </w:style>
  <w:style w:type="paragraph" w:styleId="4">
    <w:name w:val="Body Text Indent"/>
    <w:basedOn w:val="1"/>
    <w:link w:val="17"/>
    <w:qFormat/>
    <w:uiPriority w:val="0"/>
    <w:pPr>
      <w:ind w:firstLine="720" w:firstLineChars="240"/>
    </w:pPr>
    <w:rPr>
      <w:rFonts w:ascii="仿宋_GB2312" w:eastAsia="仿宋_GB2312"/>
      <w:sz w:val="30"/>
    </w:rPr>
  </w:style>
  <w:style w:type="paragraph" w:styleId="5">
    <w:name w:val="Plain Text"/>
    <w:basedOn w:val="1"/>
    <w:link w:val="18"/>
    <w:qFormat/>
    <w:uiPriority w:val="0"/>
    <w:rPr>
      <w:rFonts w:ascii="宋体"/>
      <w:szCs w:val="21"/>
    </w:rPr>
  </w:style>
  <w:style w:type="paragraph" w:styleId="6">
    <w:name w:val="Balloon Text"/>
    <w:basedOn w:val="1"/>
    <w:link w:val="19"/>
    <w:qFormat/>
    <w:uiPriority w:val="0"/>
    <w:rPr>
      <w:sz w:val="18"/>
      <w:szCs w:val="18"/>
    </w:rPr>
  </w:style>
  <w:style w:type="paragraph" w:styleId="7">
    <w:name w:val="footer"/>
    <w:basedOn w:val="1"/>
    <w:link w:val="14"/>
    <w:qFormat/>
    <w:uiPriority w:val="99"/>
    <w:pPr>
      <w:tabs>
        <w:tab w:val="center" w:pos="4153"/>
        <w:tab w:val="right" w:pos="8306"/>
      </w:tabs>
      <w:snapToGrid w:val="0"/>
      <w:jc w:val="left"/>
    </w:pPr>
    <w:rPr>
      <w:sz w:val="18"/>
      <w:szCs w:val="18"/>
    </w:rPr>
  </w:style>
  <w:style w:type="paragraph" w:styleId="8">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kern w:val="0"/>
      <w:sz w:val="24"/>
    </w:rPr>
  </w:style>
  <w:style w:type="character" w:styleId="12">
    <w:name w:val="Strong"/>
    <w:qFormat/>
    <w:uiPriority w:val="0"/>
    <w:rPr>
      <w:b/>
      <w:bCs/>
    </w:rPr>
  </w:style>
  <w:style w:type="character" w:customStyle="1" w:styleId="13">
    <w:name w:val="页眉 Char"/>
    <w:link w:val="8"/>
    <w:qFormat/>
    <w:uiPriority w:val="0"/>
    <w:rPr>
      <w:kern w:val="2"/>
      <w:sz w:val="18"/>
      <w:szCs w:val="18"/>
    </w:rPr>
  </w:style>
  <w:style w:type="character" w:customStyle="1" w:styleId="14">
    <w:name w:val="页脚 Char"/>
    <w:link w:val="7"/>
    <w:qFormat/>
    <w:uiPriority w:val="99"/>
    <w:rPr>
      <w:kern w:val="2"/>
      <w:sz w:val="18"/>
      <w:szCs w:val="18"/>
    </w:rPr>
  </w:style>
  <w:style w:type="paragraph" w:customStyle="1" w:styleId="15">
    <w:name w:val="Char1 Char Char Char Char Char Char"/>
    <w:basedOn w:val="1"/>
    <w:qFormat/>
    <w:uiPriority w:val="0"/>
    <w:rPr>
      <w:rFonts w:ascii="Tahoma" w:hAnsi="Tahoma"/>
      <w:sz w:val="24"/>
      <w:szCs w:val="20"/>
    </w:rPr>
  </w:style>
  <w:style w:type="paragraph" w:styleId="16">
    <w:name w:val="List Paragraph"/>
    <w:basedOn w:val="1"/>
    <w:qFormat/>
    <w:uiPriority w:val="34"/>
    <w:pPr>
      <w:ind w:firstLine="420" w:firstLineChars="200"/>
    </w:pPr>
  </w:style>
  <w:style w:type="character" w:customStyle="1" w:styleId="17">
    <w:name w:val="正文文本缩进 Char"/>
    <w:basedOn w:val="11"/>
    <w:link w:val="4"/>
    <w:qFormat/>
    <w:uiPriority w:val="0"/>
    <w:rPr>
      <w:rFonts w:ascii="仿宋_GB2312" w:eastAsia="仿宋_GB2312"/>
      <w:kern w:val="2"/>
      <w:sz w:val="30"/>
      <w:szCs w:val="24"/>
    </w:rPr>
  </w:style>
  <w:style w:type="character" w:customStyle="1" w:styleId="18">
    <w:name w:val="纯文本 Char"/>
    <w:basedOn w:val="11"/>
    <w:link w:val="5"/>
    <w:qFormat/>
    <w:uiPriority w:val="0"/>
    <w:rPr>
      <w:rFonts w:ascii="宋体"/>
      <w:kern w:val="2"/>
      <w:sz w:val="21"/>
      <w:szCs w:val="21"/>
    </w:rPr>
  </w:style>
  <w:style w:type="character" w:customStyle="1" w:styleId="19">
    <w:name w:val="批注框文本 Char"/>
    <w:basedOn w:val="11"/>
    <w:link w:val="6"/>
    <w:qFormat/>
    <w:uiPriority w:val="0"/>
    <w:rPr>
      <w:kern w:val="2"/>
      <w:sz w:val="18"/>
      <w:szCs w:val="18"/>
    </w:rPr>
  </w:style>
  <w:style w:type="character" w:customStyle="1" w:styleId="20">
    <w:name w:val="正文文本 Char"/>
    <w:basedOn w:val="11"/>
    <w:link w:val="3"/>
    <w:semiHidden/>
    <w:qFormat/>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FA39E4-707B-4A2B-838F-A95861898F0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32</Pages>
  <Words>13972</Words>
  <Characters>14559</Characters>
  <Lines>117</Lines>
  <Paragraphs>32</Paragraphs>
  <TotalTime>1</TotalTime>
  <ScaleCrop>false</ScaleCrop>
  <LinksUpToDate>false</LinksUpToDate>
  <CharactersWithSpaces>15030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2022-03-18T08:51:00Z</dcterms:created>
  <dc:creator>user</dc:creator>
  <cp:lastModifiedBy>董露</cp:lastModifiedBy>
  <cp:lastPrinted>2022-04-22T08:30:00Z</cp:lastPrinted>
  <dcterms:modified xsi:type="dcterms:W3CDTF">2022-04-24T02:42:19Z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D7A682486BBF4E5D9FFE5FE88E9C8A88</vt:lpwstr>
  </property>
</Properties>
</file>