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1408"/>
        <w:gridCol w:w="990"/>
        <w:gridCol w:w="1050"/>
        <w:gridCol w:w="1260"/>
        <w:gridCol w:w="1620"/>
        <w:gridCol w:w="915"/>
        <w:gridCol w:w="940"/>
        <w:gridCol w:w="2705"/>
        <w:gridCol w:w="118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992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highlight w:val="none"/>
                <w:lang w:eastAsia="zh-CN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highlight w:val="no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val="en-US" w:eastAsia="zh-CN"/>
              </w:rPr>
              <w:t>2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年衢州市妇幼保健院公开招聘第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eastAsia="zh-CN"/>
              </w:rPr>
              <w:t>三批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编外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eastAsia="zh-CN"/>
              </w:rPr>
              <w:t>人员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计划表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0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专业要求 </w:t>
            </w:r>
          </w:p>
        </w:tc>
        <w:tc>
          <w:tcPr>
            <w:tcW w:w="91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94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270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其他要求 </w:t>
            </w:r>
          </w:p>
        </w:tc>
        <w:tc>
          <w:tcPr>
            <w:tcW w:w="11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考试形式</w:t>
            </w:r>
          </w:p>
        </w:tc>
        <w:tc>
          <w:tcPr>
            <w:tcW w:w="133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有两年以上医学检验工作经验优先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心电图医师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有心电图工作经验优先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初级职称者已规培，须具有执业医师资格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临床医学、儿科学、儿科医学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初级职称者已规培，须具有执业医师资格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初级职称者已规培，须具有执业医师资格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2022年应届毕业生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水电维修工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具有电工职业资格证，持高压、低压电工作业操作证者优先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水电维修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94DA5"/>
    <w:rsid w:val="6FF94DA5"/>
    <w:rsid w:val="738146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2022-06-16T18:16:00Z</dcterms:created>
  <dc:creator>quzhou</dc:creator>
  <cp:lastModifiedBy>_Tr y.</cp:lastModifiedBy>
  <dcterms:modified xsi:type="dcterms:W3CDTF">2022-06-17T00:40:05Z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9A849753746A470BB1828E1E15709FA0</vt:lpwstr>
  </property>
</Properties>
</file>