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省中医药管理局官方微信“河北中医药”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117475</wp:posOffset>
            </wp:positionV>
            <wp:extent cx="2457450" cy="2457450"/>
            <wp:effectExtent l="0" t="0" r="0" b="0"/>
            <wp:wrapTight wrapText="bothSides">
              <wp:wrapPolygon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1" name="图片 1" descr="465cf35c31bb7375deb959c78d1af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65cf35c31bb7375deb959c78d1af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ZmFjOGEyM2NjZjQ1ZTc4NzVjNTg0OGQ4MGE2MWQifQ=="/>
  </w:docVars>
  <w:rsids>
    <w:rsidRoot w:val="00000000"/>
    <w:rsid w:val="06E83560"/>
    <w:rsid w:val="23E17A03"/>
    <w:rsid w:val="24A835B0"/>
    <w:rsid w:val="2DE80885"/>
    <w:rsid w:val="446E795F"/>
    <w:rsid w:val="5DB33B98"/>
    <w:rsid w:val="611A3176"/>
    <w:rsid w:val="630513E8"/>
    <w:rsid w:val="7CCB31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高庆丰</cp:lastModifiedBy>
  <cp:lastPrinted>2021-05-08T02:10:00Z</cp:lastPrinted>
  <dcterms:modified xsi:type="dcterms:W3CDTF">2024-04-01T01:48:10Z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82D644D2F0704BAAAD3D32A4B299A655_12</vt:lpwstr>
  </property>
</Properties>
</file>