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40" w:lineRule="atLeast"/>
        <w:outlineLvl w:val="1"/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atLeast"/>
        <w:ind w:firstLine="0" w:firstLineChars="0"/>
        <w:jc w:val="center"/>
        <w:textAlignment w:val="auto"/>
        <w:outlineLvl w:val="1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具体报考条件</w:t>
      </w:r>
    </w:p>
    <w:p>
      <w:pPr>
        <w:widowControl/>
        <w:spacing w:line="580" w:lineRule="exact"/>
        <w:ind w:firstLine="480"/>
        <w:rPr>
          <w:rFonts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参加考试的人员，应具备下列基本条件：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1.遵守国家宪法和法律，贯彻新时代卫生与健康工作方针，自觉践行“敬佑生命、救死扶伤、甘于奉献、大爱无疆”的职业精神，具备良好的政治素质、协作精神、敬业精神和医德医风。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2.身心健康，心理素质良好，能全面履行岗位职责。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二、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参加药学、技术专业士级职称考试的人员，除具备（一）规定的基本条件外，还应具备相应专业中专或大专学历。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参加药学、技术专业师级职称考试的人员，除具备（一）规定的基本条件外，还应具备下列条件之一：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1.具备相应专业中专学历，取得药（技）士职称后，从事本专业工作满5年；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2.具备相应专业大专学历，从事本专业工作满3年；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3.具备相应专业大学本科学历或学士学位，从事本专业工作满1年；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4.具备相应专业硕士学位。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四、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参加护理专业师级职称考试的人员，除具备（一）规定的基本条件外，还应具备下列条件之一：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1.具备相应专业中专学历，从事护士执业活动满5年；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2.具备相应专业大专学历，从事护士执业活动满3年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具备大学本科及以上学历或学士及以上学位，从事护士执业活动满一年，可直接聘任护师职称。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参加临床、口腔、中医类别中级职称考试的人员，除具备（一）规定的基本条件外，还应具备下列条件之一：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1.具备相应专业中专学历，经执业医师注册后从事医疗执业活动满7年；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2.具备相应专业大专学历，经执业医师注册后从事医疗执业活动满6年；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3.具备相应专业大学本科学历或学士学位，经执业医师注册后从事医疗执业活动满4年；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4.具备相应专业大学本科学历或学士学位，取得住院医师规范化培训合格证书后从事医疗执业活动满2年；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5.具备相应专业硕士学位，取得住院医师规范化培训合格证书后从事医疗执业活动满2年；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6.具备相应专业博士学位，并取得住院医师规范化培训合格证书。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六、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参加公共卫生类别中级职称考试的人员，除具备（一）规定的基本条件外，还应具备下列条件之一：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1.具备相应专业中专学历，经执业医师注册后从事公共卫生执业活动满7年；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2.具备相应专业大专学历，经执业医师注册后从事公共卫生执业活动满6年；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3.具备相应专业大学本科学历或学士学位，经执业医师注册后从事公共卫生执业活动满4年；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4.具备相应专业硕士学位，经执业医师注册后从事公共卫生执业活动满2年；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5.具备相应专业博士学位并经执业医师注册后从事公共卫生执业活动。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七、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参加护理专业中级职称考试的人员，除具备（一）规定的基本条件外，还应具备下列条件之一：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1.具备相应专业中专学历，经注册并取得护师职称后，从事护理执业活动满7年；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2.具备相应专业大专学历，经注册并取得护师职称后，从事护理执业活动满6年；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3.具备相应专业大学本科学历或学士学位，经注册并取得护师职称后，从事护理执业活动满4年；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4.具备相应专业硕士学位，经注册后从事护理执业活动满2年；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5.具备相应专业博士学位并注册从事护理执业活动。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八、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参加药学、技术专业中级职称考试的人员，除具备（一）规定的基本条件外，还应具备下列条件之一：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1.具备相应专业中专学历，取得药（技）师职称后，从事本专业工作满7年；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2.具备相应专业大专学历，取得药（技）师职称后，从事本专业工作满6年；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3.具备相应专业大学本科学历或学士学位，取得药（技）师职称后，从事本专业工作满4年；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4.具备相应专业硕士学位，取得药（技）师职称后，从事本专业工作满2年；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5.具备相应专业博士学位。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九、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有下列情形之一的，不得申请参加考试：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1.医疗事故责任者未满3年；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2.医疗差错责任者未满1年；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3.受到行政处分者在处分期间内；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4.伪造学历或考试期间有违纪行为未满2年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pacing w:line="580" w:lineRule="exact"/>
        <w:ind w:firstLine="48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5.省人力资源社会保障、卫生健康行政部门规定的其他情形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ejaVu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CFB1B3"/>
    <w:rsid w:val="7ECFB1B3"/>
    <w:rsid w:val="FC752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Office_12.8.2.1113_F1E327BC-269C-435d-A152-05C5408002CA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2024-11-22T12:24:00Z</dcterms:created>
  <dc:creator>肥皂唔打劫</dc:creator>
  <cp:lastModifiedBy>肥皂唔打劫</cp:lastModifiedBy>
  <dcterms:modified xsi:type="dcterms:W3CDTF">2024-11-22T12:25:15Z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2052-12.8.2.1113</vt:lpwstr>
  </property>
  <property fmtid="{D5CDD505-2E9C-101B-9397-08002B2CF9AE}" pid="3" name="ICV">
    <vt:lpwstr>4C28BC167F36B9D08C074067404F4916_41</vt:lpwstr>
  </property>
</Properties>
</file>