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eastAsia="方正小标宋简体"/>
          <w:sz w:val="44"/>
          <w:szCs w:val="44"/>
        </w:rPr>
      </w:pPr>
      <w:r>
        <w:rPr>
          <w:rFonts w:hint="eastAsia" w:eastAsia="方正小标宋简体"/>
          <w:sz w:val="44"/>
          <w:szCs w:val="44"/>
        </w:rPr>
        <w:t>成都市卫生健康委员会</w:t>
      </w:r>
    </w:p>
    <w:p>
      <w:pPr>
        <w:spacing w:line="700" w:lineRule="exact"/>
        <w:jc w:val="center"/>
        <w:rPr>
          <w:rFonts w:eastAsia="方正小标宋简体"/>
          <w:sz w:val="44"/>
          <w:szCs w:val="44"/>
        </w:rPr>
      </w:pPr>
      <w:r>
        <w:rPr>
          <w:rFonts w:hint="eastAsia" w:eastAsia="方正小标宋简体"/>
          <w:sz w:val="44"/>
          <w:szCs w:val="44"/>
        </w:rPr>
        <w:t>关于做好我市202</w:t>
      </w:r>
      <w:r>
        <w:rPr>
          <w:rFonts w:hint="eastAsia" w:eastAsia="方正小标宋简体"/>
          <w:sz w:val="44"/>
          <w:szCs w:val="44"/>
          <w:lang w:val="en-US" w:eastAsia="zh-CN"/>
        </w:rPr>
        <w:t>5</w:t>
      </w:r>
      <w:r>
        <w:rPr>
          <w:rFonts w:hint="eastAsia" w:eastAsia="方正小标宋简体"/>
          <w:sz w:val="44"/>
          <w:szCs w:val="44"/>
        </w:rPr>
        <w:t>年度全国卫生专业技术</w:t>
      </w:r>
    </w:p>
    <w:p>
      <w:pPr>
        <w:spacing w:line="700" w:lineRule="exact"/>
        <w:jc w:val="center"/>
        <w:rPr>
          <w:rFonts w:eastAsia="方正小标宋简体"/>
          <w:sz w:val="44"/>
          <w:szCs w:val="44"/>
        </w:rPr>
      </w:pPr>
      <w:r>
        <w:rPr>
          <w:rFonts w:hint="eastAsia" w:eastAsia="方正小标宋简体"/>
          <w:sz w:val="44"/>
          <w:szCs w:val="44"/>
        </w:rPr>
        <w:t>资格考试工作的通知</w:t>
      </w:r>
    </w:p>
    <w:p>
      <w:pPr>
        <w:spacing w:line="579" w:lineRule="exact"/>
        <w:rPr>
          <w:szCs w:val="32"/>
        </w:rPr>
      </w:pPr>
    </w:p>
    <w:p>
      <w:pPr>
        <w:spacing w:line="579" w:lineRule="exact"/>
        <w:rPr>
          <w:szCs w:val="32"/>
        </w:rPr>
      </w:pPr>
      <w:r>
        <w:rPr>
          <w:rFonts w:eastAsia="仿宋"/>
          <w:szCs w:val="32"/>
        </w:rPr>
        <w:t>各区(市）县卫健局，委直属单位</w:t>
      </w:r>
      <w:r>
        <w:rPr>
          <w:rFonts w:hint="eastAsia"/>
          <w:szCs w:val="32"/>
        </w:rPr>
        <w:t>：</w:t>
      </w:r>
    </w:p>
    <w:p>
      <w:pPr>
        <w:widowControl/>
        <w:overflowPunct w:val="0"/>
        <w:adjustRightInd w:val="0"/>
        <w:snapToGrid w:val="0"/>
        <w:spacing w:line="660" w:lineRule="exact"/>
        <w:ind w:firstLine="645"/>
        <w:jc w:val="center"/>
        <w:rPr>
          <w:rFonts w:eastAsia="仿宋"/>
          <w:szCs w:val="32"/>
        </w:rPr>
      </w:pPr>
      <w:r>
        <w:rPr>
          <w:rFonts w:hint="eastAsia" w:eastAsia="仿宋"/>
          <w:szCs w:val="32"/>
        </w:rPr>
        <w:t>根据卫生专业技术资格考试办公室《关于202</w:t>
      </w:r>
      <w:r>
        <w:rPr>
          <w:rFonts w:hint="eastAsia" w:eastAsia="仿宋"/>
          <w:szCs w:val="32"/>
          <w:lang w:val="en-US" w:eastAsia="zh-CN"/>
        </w:rPr>
        <w:t>5</w:t>
      </w:r>
      <w:r>
        <w:rPr>
          <w:rFonts w:hint="eastAsia" w:eastAsia="仿宋"/>
          <w:szCs w:val="32"/>
        </w:rPr>
        <w:t>年度卫生专业技术资格考试有关问题的通知》（卫考办发〔202</w:t>
      </w:r>
      <w:r>
        <w:rPr>
          <w:rFonts w:hint="eastAsia" w:eastAsia="仿宋"/>
          <w:szCs w:val="32"/>
          <w:lang w:val="en-US" w:eastAsia="zh-CN"/>
        </w:rPr>
        <w:t>4</w:t>
      </w:r>
      <w:r>
        <w:rPr>
          <w:rFonts w:hint="eastAsia" w:eastAsia="仿宋"/>
          <w:szCs w:val="32"/>
        </w:rPr>
        <w:t>〕1号）、《国家卫生健康委人才交流服务中心关于202</w:t>
      </w:r>
      <w:r>
        <w:rPr>
          <w:rFonts w:hint="eastAsia" w:eastAsia="仿宋"/>
          <w:szCs w:val="32"/>
          <w:lang w:val="en-US" w:eastAsia="zh-CN"/>
        </w:rPr>
        <w:t>5</w:t>
      </w:r>
      <w:r>
        <w:rPr>
          <w:rFonts w:hint="eastAsia" w:eastAsia="仿宋"/>
          <w:szCs w:val="32"/>
        </w:rPr>
        <w:t>年度卫生专业技术资格考试考务工作安排的通知》（卫人才发〔202</w:t>
      </w:r>
      <w:r>
        <w:rPr>
          <w:rFonts w:hint="eastAsia" w:eastAsia="仿宋"/>
          <w:szCs w:val="32"/>
          <w:lang w:val="en-US" w:eastAsia="zh-CN"/>
        </w:rPr>
        <w:t>4</w:t>
      </w:r>
      <w:r>
        <w:rPr>
          <w:rFonts w:hint="eastAsia" w:eastAsia="仿宋"/>
          <w:szCs w:val="32"/>
        </w:rPr>
        <w:t>〕</w:t>
      </w:r>
      <w:r>
        <w:rPr>
          <w:rFonts w:eastAsia="仿宋"/>
          <w:szCs w:val="32"/>
        </w:rPr>
        <w:t>8</w:t>
      </w:r>
      <w:r>
        <w:rPr>
          <w:rFonts w:hint="eastAsia" w:eastAsia="仿宋"/>
          <w:szCs w:val="32"/>
          <w:lang w:val="en-US" w:eastAsia="zh-CN"/>
        </w:rPr>
        <w:t>1</w:t>
      </w:r>
      <w:r>
        <w:rPr>
          <w:rFonts w:hint="eastAsia" w:eastAsia="仿宋"/>
          <w:szCs w:val="32"/>
        </w:rPr>
        <w:t>号）以及</w:t>
      </w:r>
    </w:p>
    <w:p>
      <w:pPr>
        <w:widowControl/>
        <w:overflowPunct w:val="0"/>
        <w:adjustRightInd w:val="0"/>
        <w:snapToGrid w:val="0"/>
        <w:spacing w:line="660" w:lineRule="exact"/>
        <w:rPr>
          <w:rFonts w:eastAsia="仿宋"/>
          <w:szCs w:val="32"/>
        </w:rPr>
      </w:pPr>
      <w:r>
        <w:rPr>
          <w:rFonts w:hint="eastAsia" w:eastAsia="仿宋"/>
          <w:szCs w:val="32"/>
        </w:rPr>
        <w:t>《四川省卫生健康委员会办公室关于做好202</w:t>
      </w:r>
      <w:r>
        <w:rPr>
          <w:rFonts w:hint="eastAsia" w:eastAsia="仿宋"/>
          <w:szCs w:val="32"/>
          <w:lang w:val="en-US" w:eastAsia="zh-CN"/>
        </w:rPr>
        <w:t>5</w:t>
      </w:r>
      <w:r>
        <w:rPr>
          <w:rFonts w:hint="eastAsia" w:eastAsia="仿宋"/>
          <w:szCs w:val="32"/>
        </w:rPr>
        <w:t>年度卫生专业技术资格考试工作的通知》（</w:t>
      </w:r>
      <w:r>
        <w:rPr>
          <w:rFonts w:hint="eastAsia" w:eastAsia="仿宋"/>
          <w:szCs w:val="32"/>
          <w:lang w:val="en-US" w:eastAsia="zh-CN"/>
        </w:rPr>
        <w:t>川</w:t>
      </w:r>
      <w:r>
        <w:rPr>
          <w:rFonts w:hint="eastAsia" w:eastAsia="仿宋"/>
          <w:szCs w:val="32"/>
        </w:rPr>
        <w:t>卫</w:t>
      </w:r>
      <w:r>
        <w:rPr>
          <w:rFonts w:hint="eastAsia" w:eastAsia="仿宋"/>
          <w:szCs w:val="32"/>
          <w:lang w:val="en-US" w:eastAsia="zh-CN"/>
        </w:rPr>
        <w:t>办</w:t>
      </w:r>
      <w:r>
        <w:rPr>
          <w:rFonts w:hint="eastAsia" w:eastAsia="仿宋"/>
          <w:szCs w:val="32"/>
        </w:rPr>
        <w:t>人</w:t>
      </w:r>
      <w:r>
        <w:rPr>
          <w:rFonts w:hint="eastAsia" w:eastAsia="仿宋"/>
          <w:szCs w:val="32"/>
          <w:lang w:val="en-US" w:eastAsia="zh-CN"/>
        </w:rPr>
        <w:t>事便函</w:t>
      </w:r>
      <w:r>
        <w:rPr>
          <w:rFonts w:hint="eastAsia" w:eastAsia="仿宋"/>
          <w:szCs w:val="32"/>
        </w:rPr>
        <w:t>〔202</w:t>
      </w:r>
      <w:r>
        <w:rPr>
          <w:rFonts w:hint="eastAsia" w:eastAsia="仿宋"/>
          <w:szCs w:val="32"/>
          <w:lang w:val="en-US" w:eastAsia="zh-CN"/>
        </w:rPr>
        <w:t>4</w:t>
      </w:r>
      <w:r>
        <w:rPr>
          <w:rFonts w:hint="eastAsia" w:eastAsia="仿宋"/>
          <w:szCs w:val="32"/>
        </w:rPr>
        <w:t>〕</w:t>
      </w:r>
      <w:r>
        <w:rPr>
          <w:rFonts w:hint="eastAsia" w:eastAsia="仿宋"/>
          <w:szCs w:val="32"/>
          <w:lang w:val="en-US" w:eastAsia="zh-CN"/>
        </w:rPr>
        <w:t>23</w:t>
      </w:r>
      <w:r>
        <w:rPr>
          <w:rFonts w:hint="eastAsia" w:eastAsia="仿宋"/>
          <w:szCs w:val="32"/>
        </w:rPr>
        <w:t>号）要求，为确保我市202</w:t>
      </w:r>
      <w:r>
        <w:rPr>
          <w:rFonts w:hint="eastAsia" w:eastAsia="仿宋"/>
          <w:szCs w:val="32"/>
          <w:lang w:val="en-US" w:eastAsia="zh-CN"/>
        </w:rPr>
        <w:t>5</w:t>
      </w:r>
      <w:r>
        <w:rPr>
          <w:rFonts w:hint="eastAsia" w:eastAsia="仿宋"/>
          <w:szCs w:val="32"/>
        </w:rPr>
        <w:t>年度全国卫生专业技术资格考试工作顺利进行，现就有关问题通知如下：</w:t>
      </w:r>
    </w:p>
    <w:p>
      <w:pPr>
        <w:spacing w:line="579" w:lineRule="exact"/>
        <w:ind w:firstLine="640" w:firstLineChars="200"/>
        <w:rPr>
          <w:rFonts w:ascii="黑体" w:hAnsi="黑体" w:eastAsia="黑体"/>
          <w:szCs w:val="32"/>
        </w:rPr>
      </w:pPr>
      <w:r>
        <w:rPr>
          <w:rFonts w:hint="eastAsia" w:ascii="黑体" w:hAnsi="黑体" w:eastAsia="黑体"/>
          <w:szCs w:val="32"/>
        </w:rPr>
        <w:t>一、报考条件</w:t>
      </w:r>
    </w:p>
    <w:p>
      <w:pPr>
        <w:overflowPunct w:val="0"/>
        <w:adjustRightInd w:val="0"/>
        <w:snapToGrid w:val="0"/>
        <w:spacing w:line="580" w:lineRule="exact"/>
        <w:ind w:firstLine="640" w:firstLineChars="200"/>
        <w:rPr>
          <w:rFonts w:eastAsia="仿宋"/>
          <w:szCs w:val="32"/>
        </w:rPr>
      </w:pPr>
      <w:r>
        <w:rPr>
          <w:rFonts w:hint="eastAsia" w:eastAsia="仿宋"/>
          <w:szCs w:val="32"/>
        </w:rPr>
        <w:t>（一）凡符合《人力资源社会保障部、国家卫生健康委、国家中医药局关于深化卫生专业技术人员职称制度改革的指导意见》（人社部发〔2021〕51号）和《四川省卫生健康委员会、四川省人力资源和社会保障厅关于印发〈四川省深化卫生专业技术人员职称制度改革实施方案〉的通知》（川卫规〔2022〕3号）</w:t>
      </w:r>
      <w:r>
        <w:rPr>
          <w:rFonts w:hint="eastAsia" w:eastAsia="仿宋"/>
          <w:color w:val="000000" w:themeColor="text1"/>
          <w:szCs w:val="32"/>
          <w:lang w:eastAsia="zh-CN"/>
          <w14:textFill>
            <w14:solidFill>
              <w14:schemeClr w14:val="tx1"/>
            </w14:solidFill>
          </w14:textFill>
        </w:rPr>
        <w:t>规定</w:t>
      </w:r>
      <w:r>
        <w:rPr>
          <w:rFonts w:hint="eastAsia" w:eastAsia="仿宋"/>
          <w:szCs w:val="32"/>
        </w:rPr>
        <w:t>条件的人员，均可报名参加相应级别和专业类别的考试。</w:t>
      </w:r>
    </w:p>
    <w:p>
      <w:pPr>
        <w:overflowPunct w:val="0"/>
        <w:adjustRightInd w:val="0"/>
        <w:snapToGrid w:val="0"/>
        <w:spacing w:line="580" w:lineRule="exact"/>
        <w:ind w:firstLine="640" w:firstLineChars="200"/>
        <w:rPr>
          <w:rFonts w:ascii="仿宋_GB2312" w:hAnsi="仿宋"/>
          <w:bCs/>
        </w:rPr>
      </w:pPr>
      <w:r>
        <w:rPr>
          <w:rFonts w:hint="eastAsia" w:eastAsia="仿宋"/>
          <w:szCs w:val="32"/>
        </w:rPr>
        <w:t>（二）按</w:t>
      </w:r>
      <w:r>
        <w:rPr>
          <w:rFonts w:hint="eastAsia" w:ascii="仿宋_GB2312" w:hAnsi="仿宋"/>
          <w:bCs/>
        </w:rPr>
        <w:t>照《国务院办公厅关于深化医教协同进一步推进医学教育改革和发展的意见》(国办发〔2017〕63号)和《四川省人民政府办公厅转发教育厅省卫生计生委省中医药局关于深化医教协同进一步推进医学教育改革与发展实施方案的通知》（川办函〔2017〕193号）有关规定，本科及以上学历毕业生参加住院医师规范化培训合格并到基层医疗卫生机构（藏区、彝区等艰苦边远地区可放宽到县级医疗卫生机构）工作的，可直接参加中级职称考试。</w:t>
      </w:r>
    </w:p>
    <w:p>
      <w:pPr>
        <w:overflowPunct w:val="0"/>
        <w:adjustRightInd w:val="0"/>
        <w:snapToGrid w:val="0"/>
        <w:spacing w:line="580" w:lineRule="exact"/>
        <w:ind w:firstLine="640" w:firstLineChars="200"/>
        <w:rPr>
          <w:rFonts w:eastAsia="仿宋"/>
          <w:szCs w:val="32"/>
        </w:rPr>
      </w:pPr>
      <w:r>
        <w:rPr>
          <w:rFonts w:hint="eastAsia" w:eastAsia="仿宋"/>
          <w:szCs w:val="32"/>
        </w:rPr>
        <w:t>（三）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相关要求，参加新冠肺炎疫情防控的一线医务人员，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overflowPunct w:val="0"/>
        <w:adjustRightInd w:val="0"/>
        <w:snapToGrid w:val="0"/>
        <w:spacing w:line="580" w:lineRule="exact"/>
        <w:ind w:firstLine="640" w:firstLineChars="200"/>
        <w:rPr>
          <w:rFonts w:eastAsia="仿宋"/>
          <w:szCs w:val="32"/>
        </w:rPr>
      </w:pPr>
      <w:r>
        <w:rPr>
          <w:rFonts w:hint="eastAsia" w:eastAsia="仿宋"/>
          <w:szCs w:val="32"/>
        </w:rPr>
        <w:t>（四）凡在乡镇卫生院、社区卫生服务机构工作的医师、护师，可提前一年参加</w:t>
      </w:r>
      <w:r>
        <w:rPr>
          <w:rFonts w:hint="eastAsia" w:eastAsia="仿宋"/>
          <w:szCs w:val="32"/>
          <w:lang w:val="en-US" w:eastAsia="zh-CN"/>
        </w:rPr>
        <w:t>卫生专业中级技术资格</w:t>
      </w:r>
      <w:r>
        <w:rPr>
          <w:rFonts w:hint="eastAsia" w:eastAsia="仿宋"/>
          <w:szCs w:val="32"/>
        </w:rPr>
        <w:t>全科医学、全科医学（中医类）和社区护理</w:t>
      </w:r>
      <w:r>
        <w:rPr>
          <w:rFonts w:hint="eastAsia" w:eastAsia="仿宋"/>
          <w:color w:val="000000" w:themeColor="text1"/>
          <w:szCs w:val="32"/>
          <w14:textFill>
            <w14:solidFill>
              <w14:schemeClr w14:val="tx1"/>
            </w14:solidFill>
          </w14:textFill>
        </w:rPr>
        <w:t>专业</w:t>
      </w:r>
      <w:r>
        <w:rPr>
          <w:rFonts w:hint="eastAsia" w:eastAsia="仿宋"/>
          <w:color w:val="000000" w:themeColor="text1"/>
          <w:szCs w:val="32"/>
          <w:lang w:eastAsia="zh-CN"/>
          <w14:textFill>
            <w14:solidFill>
              <w14:schemeClr w14:val="tx1"/>
            </w14:solidFill>
          </w14:textFill>
        </w:rPr>
        <w:t>类别</w:t>
      </w:r>
      <w:r>
        <w:rPr>
          <w:rFonts w:hint="eastAsia" w:eastAsia="仿宋"/>
          <w:szCs w:val="32"/>
          <w:lang w:val="en-US" w:eastAsia="zh-CN"/>
        </w:rPr>
        <w:t>的</w:t>
      </w:r>
      <w:r>
        <w:rPr>
          <w:rFonts w:hint="eastAsia" w:eastAsia="仿宋"/>
          <w:szCs w:val="32"/>
        </w:rPr>
        <w:t>考试。</w:t>
      </w:r>
    </w:p>
    <w:p>
      <w:pPr>
        <w:overflowPunct w:val="0"/>
        <w:adjustRightInd w:val="0"/>
        <w:snapToGrid w:val="0"/>
        <w:spacing w:line="580" w:lineRule="exact"/>
        <w:ind w:firstLine="640" w:firstLineChars="200"/>
        <w:rPr>
          <w:rFonts w:eastAsia="仿宋"/>
          <w:szCs w:val="32"/>
        </w:rPr>
      </w:pPr>
      <w:r>
        <w:rPr>
          <w:rFonts w:hint="eastAsia" w:eastAsia="仿宋"/>
          <w:szCs w:val="32"/>
        </w:rPr>
        <w:t>（五）202</w:t>
      </w:r>
      <w:r>
        <w:rPr>
          <w:rFonts w:hint="eastAsia" w:eastAsia="仿宋"/>
          <w:szCs w:val="32"/>
          <w:lang w:val="en-US" w:eastAsia="zh-CN"/>
        </w:rPr>
        <w:t>5</w:t>
      </w:r>
      <w:r>
        <w:rPr>
          <w:rFonts w:hint="eastAsia" w:eastAsia="仿宋"/>
          <w:szCs w:val="32"/>
        </w:rPr>
        <w:t>年度报考人员，其学历或学位取得日期和从事本专业工作年限均截至202</w:t>
      </w:r>
      <w:r>
        <w:rPr>
          <w:rFonts w:hint="eastAsia" w:eastAsia="仿宋"/>
          <w:szCs w:val="32"/>
          <w:lang w:val="en-US" w:eastAsia="zh-CN"/>
        </w:rPr>
        <w:t>4</w:t>
      </w:r>
      <w:r>
        <w:rPr>
          <w:rFonts w:hint="eastAsia" w:eastAsia="仿宋"/>
          <w:szCs w:val="32"/>
        </w:rPr>
        <w:t>年12月31日。因工作岗位变动，需报考现岗位专业类别的人员，其从事现岗位专业工作时间须满两年。</w:t>
      </w:r>
    </w:p>
    <w:p>
      <w:pPr>
        <w:overflowPunct w:val="0"/>
        <w:adjustRightInd w:val="0"/>
        <w:snapToGrid w:val="0"/>
        <w:spacing w:line="580" w:lineRule="exact"/>
        <w:ind w:firstLine="640" w:firstLineChars="200"/>
        <w:rPr>
          <w:rFonts w:eastAsia="仿宋"/>
          <w:szCs w:val="32"/>
        </w:rPr>
      </w:pPr>
      <w:r>
        <w:rPr>
          <w:rFonts w:hint="eastAsia" w:eastAsia="仿宋"/>
          <w:szCs w:val="32"/>
        </w:rPr>
        <w:t>报名条件中有关专业学历或学位的规定，是指国家教育、卫生健康行政部门认可的正规院校毕业学历或学位。在计算任职年限时，从事医疗或护理等执业活动的，从执业注册时间算起；取得护师、药师或技师等职称，从取得相应资格时间算起。</w:t>
      </w:r>
    </w:p>
    <w:p>
      <w:pPr>
        <w:overflowPunct w:val="0"/>
        <w:adjustRightInd w:val="0"/>
        <w:snapToGrid w:val="0"/>
        <w:spacing w:line="580" w:lineRule="exact"/>
        <w:ind w:firstLine="640" w:firstLineChars="200"/>
        <w:rPr>
          <w:rFonts w:eastAsia="仿宋"/>
          <w:szCs w:val="32"/>
        </w:rPr>
      </w:pPr>
      <w:r>
        <w:rPr>
          <w:rFonts w:eastAsia="仿宋"/>
          <w:szCs w:val="32"/>
        </w:rPr>
        <w:t>2017年及以前取得医师、护士资格证书的</w:t>
      </w:r>
      <w:r>
        <w:rPr>
          <w:rFonts w:hint="eastAsia" w:eastAsia="仿宋"/>
          <w:szCs w:val="32"/>
        </w:rPr>
        <w:t>人员</w:t>
      </w:r>
      <w:r>
        <w:rPr>
          <w:rFonts w:eastAsia="仿宋"/>
          <w:szCs w:val="32"/>
        </w:rPr>
        <w:t>，在取得资格后次年12月31日以前注册的（注册时间以医师</w:t>
      </w:r>
      <w:r>
        <w:rPr>
          <w:rFonts w:hint="eastAsia" w:eastAsia="仿宋"/>
          <w:szCs w:val="32"/>
        </w:rPr>
        <w:t>、护士</w:t>
      </w:r>
      <w:r>
        <w:rPr>
          <w:rFonts w:eastAsia="仿宋"/>
          <w:szCs w:val="32"/>
        </w:rPr>
        <w:t>执业证书签发时间为准），可结合用人单位劳动合同或聘用合同（聘书）计算其工作年限，在符合其他报名条件的情况下，按取得资格证书</w:t>
      </w:r>
      <w:r>
        <w:rPr>
          <w:rFonts w:eastAsia="仿宋"/>
          <w:color w:val="000000" w:themeColor="text1"/>
          <w:szCs w:val="32"/>
          <w14:textFill>
            <w14:solidFill>
              <w14:schemeClr w14:val="tx1"/>
            </w14:solidFill>
          </w14:textFill>
        </w:rPr>
        <w:t>的时</w:t>
      </w:r>
      <w:r>
        <w:rPr>
          <w:rFonts w:eastAsia="仿宋"/>
          <w:szCs w:val="32"/>
        </w:rPr>
        <w:t>间</w:t>
      </w:r>
      <w:r>
        <w:rPr>
          <w:rFonts w:hint="eastAsia" w:eastAsia="仿宋"/>
          <w:szCs w:val="32"/>
        </w:rPr>
        <w:t>报名参加相应级别和专业类别的考试</w:t>
      </w:r>
      <w:r>
        <w:rPr>
          <w:rFonts w:eastAsia="仿宋"/>
          <w:szCs w:val="32"/>
        </w:rPr>
        <w:t>。</w:t>
      </w:r>
    </w:p>
    <w:p>
      <w:pPr>
        <w:overflowPunct w:val="0"/>
        <w:adjustRightInd w:val="0"/>
        <w:snapToGrid w:val="0"/>
        <w:spacing w:line="580" w:lineRule="exact"/>
        <w:ind w:firstLine="640" w:firstLineChars="200"/>
        <w:rPr>
          <w:rFonts w:eastAsia="仿宋"/>
          <w:szCs w:val="32"/>
        </w:rPr>
      </w:pPr>
      <w:r>
        <w:rPr>
          <w:rFonts w:hint="eastAsia" w:eastAsia="仿宋"/>
          <w:szCs w:val="32"/>
        </w:rPr>
        <w:t>（</w:t>
      </w:r>
      <w:r>
        <w:rPr>
          <w:rFonts w:hint="eastAsia" w:eastAsia="仿宋"/>
          <w:szCs w:val="32"/>
          <w:lang w:val="en-US" w:eastAsia="zh-CN"/>
        </w:rPr>
        <w:t>六</w:t>
      </w:r>
      <w:r>
        <w:rPr>
          <w:rFonts w:hint="eastAsia" w:eastAsia="仿宋"/>
          <w:szCs w:val="32"/>
        </w:rPr>
        <w:t>）凡报考《卫生专业技术资格考试专业目录》中专业代码为301至365以及392专业的人员，应具有相应专业执业医师资格，并在报名时提交相应专业执业医师资格证书；凡报考专业代码为203以及368-37</w:t>
      </w:r>
      <w:r>
        <w:rPr>
          <w:rFonts w:eastAsia="仿宋"/>
          <w:szCs w:val="32"/>
        </w:rPr>
        <w:t>3</w:t>
      </w:r>
      <w:r>
        <w:rPr>
          <w:rFonts w:hint="eastAsia" w:eastAsia="仿宋"/>
          <w:szCs w:val="32"/>
        </w:rPr>
        <w:t>专业的人员，应具有护士执业资格，并在报名时提交护士执业证书。</w:t>
      </w:r>
    </w:p>
    <w:p>
      <w:pPr>
        <w:overflowPunct w:val="0"/>
        <w:adjustRightInd w:val="0"/>
        <w:snapToGrid w:val="0"/>
        <w:spacing w:line="580" w:lineRule="exact"/>
        <w:ind w:firstLine="640" w:firstLineChars="200"/>
        <w:rPr>
          <w:rFonts w:eastAsia="仿宋"/>
          <w:szCs w:val="32"/>
        </w:rPr>
      </w:pPr>
      <w:r>
        <w:rPr>
          <w:rFonts w:hint="eastAsia" w:eastAsia="仿宋"/>
          <w:szCs w:val="32"/>
        </w:rPr>
        <w:t>（</w:t>
      </w:r>
      <w:r>
        <w:rPr>
          <w:rFonts w:hint="eastAsia" w:eastAsia="仿宋"/>
          <w:szCs w:val="32"/>
          <w:lang w:val="en-US" w:eastAsia="zh-CN"/>
        </w:rPr>
        <w:t>七</w:t>
      </w:r>
      <w:r>
        <w:rPr>
          <w:rFonts w:hint="eastAsia" w:eastAsia="仿宋"/>
          <w:szCs w:val="32"/>
        </w:rPr>
        <w:t>）卫生专业技术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确保证件号码一致。</w:t>
      </w:r>
    </w:p>
    <w:p>
      <w:pPr>
        <w:overflowPunct w:val="0"/>
        <w:adjustRightInd w:val="0"/>
        <w:snapToGrid w:val="0"/>
        <w:spacing w:line="580" w:lineRule="exact"/>
        <w:ind w:firstLine="640" w:firstLineChars="200"/>
        <w:rPr>
          <w:rFonts w:eastAsia="仿宋"/>
          <w:szCs w:val="32"/>
        </w:rPr>
      </w:pPr>
      <w:r>
        <w:rPr>
          <w:rFonts w:hint="eastAsia" w:eastAsia="仿宋"/>
          <w:szCs w:val="32"/>
        </w:rPr>
        <w:t>（</w:t>
      </w:r>
      <w:r>
        <w:rPr>
          <w:rFonts w:hint="eastAsia" w:eastAsia="仿宋"/>
          <w:szCs w:val="32"/>
          <w:lang w:val="en-US" w:eastAsia="zh-CN"/>
        </w:rPr>
        <w:t>八</w:t>
      </w:r>
      <w:r>
        <w:rPr>
          <w:rFonts w:hint="eastAsia" w:eastAsia="仿宋"/>
          <w:szCs w:val="32"/>
        </w:rPr>
        <w:t>）按照《港澳台居民居住证申领发放办法》（国办发〔2018〕81号）和《中共中央组织部、人力资源社会保障部、公安部等25部门关于印发〈外国人在中国永久居留享有相关待遇的办法〉的通知》（人社部发〔2012〕53号）要求，做好香港、澳门、台湾居民以及持有中国《外国人永久居留证》的外籍人员参加卫生专业技术资格考试相关工作。</w:t>
      </w:r>
    </w:p>
    <w:p>
      <w:pPr>
        <w:spacing w:line="579" w:lineRule="exact"/>
        <w:ind w:firstLine="640" w:firstLineChars="200"/>
        <w:rPr>
          <w:rFonts w:ascii="黑体" w:hAnsi="黑体" w:eastAsia="黑体"/>
          <w:szCs w:val="32"/>
        </w:rPr>
      </w:pPr>
      <w:r>
        <w:rPr>
          <w:rFonts w:hint="eastAsia" w:ascii="黑体" w:hAnsi="黑体" w:eastAsia="黑体"/>
          <w:szCs w:val="32"/>
        </w:rPr>
        <w:t>二、考试报名方式、时间、地点及要求</w:t>
      </w:r>
    </w:p>
    <w:p>
      <w:pPr>
        <w:spacing w:line="579" w:lineRule="exact"/>
        <w:ind w:firstLine="640" w:firstLineChars="200"/>
        <w:rPr>
          <w:rFonts w:hint="eastAsia"/>
          <w:szCs w:val="32"/>
        </w:rPr>
      </w:pPr>
      <w:r>
        <w:rPr>
          <w:rFonts w:hint="eastAsia"/>
          <w:szCs w:val="32"/>
        </w:rPr>
        <w:t>（一）报名方式：卫生专业技术资格考试报名包括网上报名、现场确认、资格审核和网上缴费四个阶段。考生须按照报名须知，如实准确地在网上填写个人报名信息，在填报工作单位名称时务必规范填写单位全称（与组织机构代码证一致），不填写具体的科室（部门）。并打印《202</w:t>
      </w:r>
      <w:r>
        <w:rPr>
          <w:rFonts w:hint="eastAsia"/>
          <w:szCs w:val="32"/>
          <w:lang w:val="en-US" w:eastAsia="zh-CN"/>
        </w:rPr>
        <w:t>5</w:t>
      </w:r>
      <w:r>
        <w:rPr>
          <w:rFonts w:hint="eastAsia"/>
          <w:szCs w:val="32"/>
        </w:rPr>
        <w:t>年度卫生专业技术资格考试报名申报表》。</w:t>
      </w:r>
      <w:r>
        <w:rPr>
          <w:rFonts w:hint="eastAsia" w:ascii="仿宋_GB2312" w:hAnsi="仿宋_GB2312" w:cs="宋体"/>
          <w:szCs w:val="32"/>
        </w:rPr>
        <w:t>上传照片必须为考生本人近期清晰、可辨认的正面免冠白底彩色证件照，不得上传生活照、视频捕捉或摄像头所摄照片；照片格式为jpg，头部比例须占照片尺寸的2/3，头发不得过眉，露双耳，常戴眼镜的考生应配戴眼镜，不得佩戴首饰；非军人考生不得着制式服装拍照，女性不得穿背带式服装拍照</w:t>
      </w:r>
      <w:r>
        <w:rPr>
          <w:rFonts w:hint="eastAsia"/>
          <w:color w:val="FF0000"/>
          <w:szCs w:val="32"/>
        </w:rPr>
        <w:t>。</w:t>
      </w:r>
      <w:r>
        <w:rPr>
          <w:rFonts w:hint="eastAsia"/>
          <w:szCs w:val="32"/>
        </w:rPr>
        <w:t>考生网上预报名后，必须到相应的报名点进行网上申报确认，未经确认报名无效。</w:t>
      </w:r>
    </w:p>
    <w:p>
      <w:pPr>
        <w:spacing w:line="579" w:lineRule="exact"/>
        <w:ind w:firstLine="640" w:firstLineChars="200"/>
        <w:rPr>
          <w:rFonts w:hint="default" w:eastAsia="仿宋_GB2312"/>
          <w:szCs w:val="32"/>
          <w:lang w:val="en-US" w:eastAsia="zh-CN"/>
        </w:rPr>
      </w:pPr>
      <w:r>
        <w:rPr>
          <w:rFonts w:hint="eastAsia"/>
          <w:szCs w:val="32"/>
          <w:lang w:val="en-US" w:eastAsia="zh-CN"/>
        </w:rPr>
        <w:t>卫生专业技术人员应在本人人事（劳动）关系所在单位报考。考生须提供个人社保参保证明、劳动合同等能证明人事（劳动）关系的佐证材料。</w:t>
      </w:r>
    </w:p>
    <w:p>
      <w:pPr>
        <w:overflowPunct w:val="0"/>
        <w:adjustRightInd w:val="0"/>
        <w:snapToGrid w:val="0"/>
        <w:spacing w:line="580" w:lineRule="exact"/>
        <w:ind w:firstLine="640" w:firstLineChars="200"/>
        <w:rPr>
          <w:szCs w:val="32"/>
        </w:rPr>
      </w:pPr>
      <w:r>
        <w:rPr>
          <w:rFonts w:hint="eastAsia"/>
          <w:szCs w:val="32"/>
        </w:rPr>
        <w:t>符合《四川省卫生健康委员会、四川省人力资源和社会保障厅关于印发〈四川省深化卫生专业技术人员职称制度改革实施方案〉的通</w:t>
      </w:r>
      <w:r>
        <w:rPr>
          <w:rFonts w:hint="eastAsia"/>
          <w:color w:val="000000" w:themeColor="text1"/>
          <w:szCs w:val="32"/>
          <w14:textFill>
            <w14:solidFill>
              <w14:schemeClr w14:val="tx1"/>
            </w14:solidFill>
          </w14:textFill>
        </w:rPr>
        <w:t>知》（川卫规〔2022〕3号）和《四川省人力资源和社会保障厅关于</w:t>
      </w:r>
      <w:r>
        <w:rPr>
          <w:rFonts w:hint="eastAsia"/>
          <w:color w:val="000000" w:themeColor="text1"/>
          <w:szCs w:val="32"/>
          <w:lang w:eastAsia="zh-CN"/>
          <w14:textFill>
            <w14:solidFill>
              <w14:schemeClr w14:val="tx1"/>
            </w14:solidFill>
          </w14:textFill>
        </w:rPr>
        <w:t>部分专业技术人员资格考试合格标准有关事项的通告》</w:t>
      </w:r>
      <w:r>
        <w:rPr>
          <w:rFonts w:hint="eastAsia"/>
          <w:color w:val="000000" w:themeColor="text1"/>
          <w:szCs w:val="32"/>
          <w14:textFill>
            <w14:solidFill>
              <w14:schemeClr w14:val="tx1"/>
            </w14:solidFill>
          </w14:textFill>
        </w:rPr>
        <w:t>规定的</w:t>
      </w:r>
      <w:r>
        <w:rPr>
          <w:rFonts w:hint="eastAsia"/>
          <w:color w:val="000000" w:themeColor="text1"/>
          <w:szCs w:val="32"/>
          <w:lang w:val="en-US" w:eastAsia="zh-CN"/>
          <w14:textFill>
            <w14:solidFill>
              <w14:schemeClr w14:val="tx1"/>
            </w14:solidFill>
          </w14:textFill>
        </w:rPr>
        <w:t>基层卫生中级职称</w:t>
      </w:r>
      <w:r>
        <w:rPr>
          <w:rFonts w:hint="eastAsia"/>
          <w:color w:val="000000" w:themeColor="text1"/>
          <w:szCs w:val="32"/>
          <w14:textFill>
            <w14:solidFill>
              <w14:schemeClr w14:val="tx1"/>
            </w14:solidFill>
          </w14:textFill>
        </w:rPr>
        <w:t>适用范围和条件的基层医疗卫生机构专业技术人员，须勾选“基层卫生”栏目。勾选“基层卫生”</w:t>
      </w:r>
      <w:r>
        <w:rPr>
          <w:rFonts w:hint="eastAsia"/>
          <w:szCs w:val="32"/>
        </w:rPr>
        <w:t>栏目的考生，达到国家合格标准的，将颁发国家统一印制的卫生中级专业技术资格证书；未达到国家合格标准，但达到</w:t>
      </w:r>
      <w:r>
        <w:rPr>
          <w:rFonts w:hint="eastAsia"/>
          <w:szCs w:val="32"/>
          <w:lang w:val="en-US" w:eastAsia="zh-CN"/>
        </w:rPr>
        <w:t>基层卫生中级职称</w:t>
      </w:r>
      <w:r>
        <w:rPr>
          <w:rFonts w:hint="eastAsia"/>
          <w:szCs w:val="32"/>
        </w:rPr>
        <w:t>标准的，将获得基层卫生中级</w:t>
      </w:r>
      <w:r>
        <w:rPr>
          <w:rFonts w:hint="eastAsia"/>
          <w:szCs w:val="32"/>
          <w:lang w:val="en-US" w:eastAsia="zh-CN"/>
        </w:rPr>
        <w:t>职称</w:t>
      </w:r>
      <w:r>
        <w:rPr>
          <w:rFonts w:hint="eastAsia"/>
          <w:szCs w:val="32"/>
        </w:rPr>
        <w:t>证书。各</w:t>
      </w:r>
      <w:r>
        <w:rPr>
          <w:rFonts w:hint="eastAsia"/>
          <w:szCs w:val="32"/>
          <w:highlight w:val="none"/>
        </w:rPr>
        <w:t>报名点</w:t>
      </w:r>
      <w:r>
        <w:rPr>
          <w:rFonts w:hint="eastAsia"/>
          <w:szCs w:val="32"/>
        </w:rPr>
        <w:t>须严格审核，不符合基层卫生中级</w:t>
      </w:r>
      <w:r>
        <w:rPr>
          <w:rFonts w:hint="eastAsia"/>
          <w:szCs w:val="32"/>
          <w:lang w:val="en-US" w:eastAsia="zh-CN"/>
        </w:rPr>
        <w:t>职称</w:t>
      </w:r>
      <w:r>
        <w:rPr>
          <w:rFonts w:hint="eastAsia"/>
          <w:szCs w:val="32"/>
        </w:rPr>
        <w:t>政策条件的考生不得勾选“基层卫生”栏目。不勾选“基层卫生”栏目的考生，一律不予确认基层卫生中级职称资格。</w:t>
      </w:r>
    </w:p>
    <w:p>
      <w:pPr>
        <w:spacing w:line="579" w:lineRule="exact"/>
        <w:ind w:firstLine="640" w:firstLineChars="200"/>
        <w:rPr>
          <w:szCs w:val="32"/>
        </w:rPr>
      </w:pPr>
      <w:r>
        <w:rPr>
          <w:rFonts w:hint="eastAsia"/>
          <w:szCs w:val="32"/>
        </w:rPr>
        <w:t>（二）网上报名时间：202</w:t>
      </w:r>
      <w:r>
        <w:rPr>
          <w:rFonts w:hint="eastAsia"/>
          <w:szCs w:val="32"/>
          <w:lang w:val="en-US" w:eastAsia="zh-CN"/>
        </w:rPr>
        <w:t>4</w:t>
      </w:r>
      <w:r>
        <w:rPr>
          <w:rFonts w:hint="eastAsia"/>
          <w:szCs w:val="32"/>
        </w:rPr>
        <w:t>年1</w:t>
      </w:r>
      <w:r>
        <w:rPr>
          <w:rFonts w:hint="eastAsia"/>
          <w:szCs w:val="32"/>
          <w:lang w:val="en-US" w:eastAsia="zh-CN"/>
        </w:rPr>
        <w:t>1</w:t>
      </w:r>
      <w:r>
        <w:rPr>
          <w:rFonts w:hint="eastAsia"/>
          <w:szCs w:val="32"/>
        </w:rPr>
        <w:t>月</w:t>
      </w:r>
      <w:r>
        <w:rPr>
          <w:rFonts w:hint="eastAsia"/>
          <w:szCs w:val="32"/>
          <w:lang w:val="en-US" w:eastAsia="zh-CN"/>
        </w:rPr>
        <w:t>26日</w:t>
      </w:r>
      <w:r>
        <w:rPr>
          <w:rFonts w:hint="eastAsia"/>
          <w:szCs w:val="32"/>
        </w:rPr>
        <w:t>-</w:t>
      </w:r>
      <w:r>
        <w:rPr>
          <w:rFonts w:hint="eastAsia"/>
          <w:szCs w:val="32"/>
          <w:lang w:val="en-US" w:eastAsia="zh-CN"/>
        </w:rPr>
        <w:t>12月9</w:t>
      </w:r>
      <w:r>
        <w:rPr>
          <w:rFonts w:hint="eastAsia"/>
          <w:szCs w:val="32"/>
        </w:rPr>
        <w:t>日期间，考生可登陆国家卫生健康委人才交流服务中心官网（www.21wecan.com）进行网上报名。</w:t>
      </w:r>
    </w:p>
    <w:p>
      <w:pPr>
        <w:spacing w:line="579" w:lineRule="exact"/>
        <w:ind w:firstLine="640" w:firstLineChars="200"/>
        <w:rPr>
          <w:szCs w:val="32"/>
        </w:rPr>
      </w:pPr>
      <w:r>
        <w:rPr>
          <w:rFonts w:hint="eastAsia"/>
          <w:szCs w:val="32"/>
        </w:rPr>
        <w:t>（三）报名初审、现场确认</w:t>
      </w:r>
      <w:r>
        <w:rPr>
          <w:rFonts w:hint="eastAsia"/>
          <w:szCs w:val="32"/>
          <w:lang w:val="en-US" w:eastAsia="zh-CN"/>
        </w:rPr>
        <w:t>地点</w:t>
      </w:r>
      <w:r>
        <w:rPr>
          <w:rFonts w:hint="eastAsia"/>
          <w:szCs w:val="32"/>
        </w:rPr>
        <w:t>：根据单位属地化就近管理原则，考生按执业机构所在地，由医疗卫生机构统一组织到当地卫健行政部门进行资格</w:t>
      </w:r>
      <w:r>
        <w:rPr>
          <w:rFonts w:hint="eastAsia"/>
          <w:szCs w:val="32"/>
          <w:lang w:eastAsia="zh-CN"/>
        </w:rPr>
        <w:t>初审</w:t>
      </w:r>
      <w:r>
        <w:rPr>
          <w:rFonts w:hint="eastAsia"/>
          <w:szCs w:val="32"/>
        </w:rPr>
        <w:t>和现场确认，原则上不以个人形式报名。各区（市）县及有关单位负责本地区或本单位</w:t>
      </w:r>
      <w:r>
        <w:rPr>
          <w:rFonts w:hint="eastAsia"/>
          <w:szCs w:val="32"/>
          <w:lang w:eastAsia="zh-CN"/>
        </w:rPr>
        <w:t>资格</w:t>
      </w:r>
      <w:r>
        <w:rPr>
          <w:rFonts w:hint="eastAsia"/>
          <w:szCs w:val="32"/>
        </w:rPr>
        <w:t>初审和现场确认。同时应积极做好宣传工作，组织好考生在规定时间内进行网上报名。</w:t>
      </w:r>
    </w:p>
    <w:p>
      <w:pPr>
        <w:spacing w:line="579" w:lineRule="exact"/>
        <w:ind w:firstLine="640" w:firstLineChars="200"/>
        <w:rPr>
          <w:rFonts w:ascii="黑体" w:hAnsi="黑体" w:eastAsia="黑体"/>
          <w:szCs w:val="32"/>
        </w:rPr>
      </w:pPr>
      <w:r>
        <w:rPr>
          <w:rFonts w:hint="eastAsia" w:ascii="黑体" w:hAnsi="黑体" w:eastAsia="黑体"/>
          <w:szCs w:val="32"/>
        </w:rPr>
        <w:t>三、现场资格确认</w:t>
      </w:r>
    </w:p>
    <w:p>
      <w:pPr>
        <w:spacing w:line="579" w:lineRule="exact"/>
        <w:ind w:firstLine="640" w:firstLineChars="200"/>
        <w:rPr>
          <w:color w:val="000000" w:themeColor="text1"/>
          <w:szCs w:val="32"/>
          <w14:textFill>
            <w14:solidFill>
              <w14:schemeClr w14:val="tx1"/>
            </w14:solidFill>
          </w14:textFill>
        </w:rPr>
      </w:pPr>
      <w:r>
        <w:rPr>
          <w:rFonts w:hint="eastAsia"/>
          <w:szCs w:val="32"/>
        </w:rPr>
        <w:t>（一）各区（市）县、各单位在规定时间内完成初审和现场资格确认工作。现场资格确认时间为</w:t>
      </w:r>
      <w:r>
        <w:rPr>
          <w:rFonts w:hint="eastAsia"/>
          <w:color w:val="000000" w:themeColor="text1"/>
          <w:szCs w:val="32"/>
          <w14:textFill>
            <w14:solidFill>
              <w14:schemeClr w14:val="tx1"/>
            </w14:solidFill>
          </w14:textFill>
        </w:rPr>
        <w:t>202</w:t>
      </w:r>
      <w:r>
        <w:rPr>
          <w:rFonts w:hint="eastAsia"/>
          <w:color w:val="000000" w:themeColor="text1"/>
          <w:szCs w:val="32"/>
          <w:lang w:val="en-US" w:eastAsia="zh-CN"/>
          <w14:textFill>
            <w14:solidFill>
              <w14:schemeClr w14:val="tx1"/>
            </w14:solidFill>
          </w14:textFill>
        </w:rPr>
        <w:t>4</w:t>
      </w:r>
      <w:r>
        <w:rPr>
          <w:rFonts w:hint="eastAsia"/>
          <w:color w:val="000000" w:themeColor="text1"/>
          <w:szCs w:val="32"/>
          <w14:textFill>
            <w14:solidFill>
              <w14:schemeClr w14:val="tx1"/>
            </w14:solidFill>
          </w14:textFill>
        </w:rPr>
        <w:t>年</w:t>
      </w:r>
      <w:r>
        <w:rPr>
          <w:rFonts w:hint="eastAsia"/>
          <w:color w:val="000000" w:themeColor="text1"/>
          <w:szCs w:val="32"/>
          <w:lang w:val="en-US" w:eastAsia="zh-CN"/>
          <w14:textFill>
            <w14:solidFill>
              <w14:schemeClr w14:val="tx1"/>
            </w14:solidFill>
          </w14:textFill>
        </w:rPr>
        <w:t>11</w:t>
      </w:r>
      <w:r>
        <w:rPr>
          <w:rFonts w:hint="eastAsia"/>
          <w:color w:val="000000" w:themeColor="text1"/>
          <w:szCs w:val="32"/>
          <w14:textFill>
            <w14:solidFill>
              <w14:schemeClr w14:val="tx1"/>
            </w14:solidFill>
          </w14:textFill>
        </w:rPr>
        <w:t>月</w:t>
      </w:r>
      <w:r>
        <w:rPr>
          <w:color w:val="000000" w:themeColor="text1"/>
          <w:szCs w:val="32"/>
          <w14:textFill>
            <w14:solidFill>
              <w14:schemeClr w14:val="tx1"/>
            </w14:solidFill>
          </w14:textFill>
        </w:rPr>
        <w:t>2</w:t>
      </w:r>
      <w:r>
        <w:rPr>
          <w:rFonts w:hint="eastAsia"/>
          <w:color w:val="000000" w:themeColor="text1"/>
          <w:szCs w:val="32"/>
          <w:lang w:val="en-US" w:eastAsia="zh-CN"/>
          <w14:textFill>
            <w14:solidFill>
              <w14:schemeClr w14:val="tx1"/>
            </w14:solidFill>
          </w14:textFill>
        </w:rPr>
        <w:t>7日</w:t>
      </w:r>
      <w:r>
        <w:rPr>
          <w:color w:val="000000" w:themeColor="text1"/>
          <w:szCs w:val="32"/>
          <w14:textFill>
            <w14:solidFill>
              <w14:schemeClr w14:val="tx1"/>
            </w14:solidFill>
          </w14:textFill>
        </w:rPr>
        <w:t>-</w:t>
      </w:r>
      <w:r>
        <w:rPr>
          <w:rFonts w:hint="eastAsia"/>
          <w:color w:val="000000" w:themeColor="text1"/>
          <w:szCs w:val="32"/>
          <w:lang w:val="en-US" w:eastAsia="zh-CN"/>
          <w14:textFill>
            <w14:solidFill>
              <w14:schemeClr w14:val="tx1"/>
            </w14:solidFill>
          </w14:textFill>
        </w:rPr>
        <w:t>12月11</w:t>
      </w:r>
      <w:r>
        <w:rPr>
          <w:rFonts w:hint="eastAsia"/>
          <w:color w:val="000000" w:themeColor="text1"/>
          <w:szCs w:val="32"/>
          <w14:textFill>
            <w14:solidFill>
              <w14:schemeClr w14:val="tx1"/>
            </w14:solidFill>
          </w14:textFill>
        </w:rPr>
        <w:t>日，具体确认时间由</w:t>
      </w:r>
      <w:r>
        <w:rPr>
          <w:rFonts w:hint="eastAsia"/>
          <w:szCs w:val="32"/>
        </w:rPr>
        <w:t>各区（市）县、各单位在规定时间段内自行确定</w:t>
      </w:r>
      <w:r>
        <w:rPr>
          <w:rFonts w:hint="eastAsia"/>
          <w:color w:val="000000" w:themeColor="text1"/>
          <w:szCs w:val="32"/>
          <w14:textFill>
            <w14:solidFill>
              <w14:schemeClr w14:val="tx1"/>
            </w14:solidFill>
          </w14:textFill>
        </w:rPr>
        <w:t>。</w:t>
      </w:r>
    </w:p>
    <w:p>
      <w:pPr>
        <w:overflowPunct w:val="0"/>
        <w:adjustRightInd w:val="0"/>
        <w:snapToGrid w:val="0"/>
        <w:spacing w:line="580" w:lineRule="exact"/>
        <w:ind w:firstLine="640" w:firstLineChars="200"/>
        <w:rPr>
          <w:rFonts w:ascii="仿宋_GB2312" w:hAnsi="仿宋"/>
          <w:b/>
        </w:rPr>
      </w:pPr>
      <w:r>
        <w:rPr>
          <w:rFonts w:hint="eastAsia" w:ascii="黑体" w:hAnsi="黑体" w:eastAsia="黑体" w:cs="黑体"/>
        </w:rPr>
        <w:t>上年度历史报考同专业同级别考生须进行现场确认，不实行自动确认。</w:t>
      </w:r>
    </w:p>
    <w:p>
      <w:pPr>
        <w:spacing w:line="579" w:lineRule="exact"/>
        <w:ind w:firstLine="640" w:firstLineChars="200"/>
        <w:rPr>
          <w:szCs w:val="32"/>
        </w:rPr>
      </w:pPr>
      <w:r>
        <w:rPr>
          <w:rFonts w:hint="eastAsia"/>
          <w:szCs w:val="32"/>
        </w:rPr>
        <w:t>（二）经现场资格确认、审核履行报名手续完毕后，一律不得更改报考专业、科目等有关信息。凡未在规定时间内完成报名、资格确认的逾期不再办理补报手续。</w:t>
      </w:r>
    </w:p>
    <w:p>
      <w:pPr>
        <w:spacing w:line="579" w:lineRule="exact"/>
        <w:ind w:firstLine="640" w:firstLineChars="200"/>
        <w:rPr>
          <w:rFonts w:ascii="黑体" w:hAnsi="黑体" w:eastAsia="黑体"/>
          <w:szCs w:val="32"/>
        </w:rPr>
      </w:pPr>
      <w:r>
        <w:rPr>
          <w:rFonts w:hint="eastAsia" w:ascii="黑体" w:hAnsi="黑体" w:eastAsia="黑体"/>
          <w:szCs w:val="32"/>
        </w:rPr>
        <w:t>四、报名资格复审</w:t>
      </w:r>
    </w:p>
    <w:p>
      <w:pPr>
        <w:spacing w:line="579" w:lineRule="exact"/>
        <w:ind w:firstLine="640" w:firstLineChars="200"/>
        <w:rPr>
          <w:rFonts w:hint="eastAsia"/>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（一）各区（市）县、有关医疗卫生单位严格按照《成都考点202</w:t>
      </w:r>
      <w:r>
        <w:rPr>
          <w:rFonts w:hint="eastAsia"/>
          <w:color w:val="000000" w:themeColor="text1"/>
          <w:szCs w:val="32"/>
          <w:lang w:val="en-US" w:eastAsia="zh-CN"/>
          <w14:textFill>
            <w14:solidFill>
              <w14:schemeClr w14:val="tx1"/>
            </w14:solidFill>
          </w14:textFill>
        </w:rPr>
        <w:t>5</w:t>
      </w:r>
      <w:r>
        <w:rPr>
          <w:rFonts w:hint="eastAsia"/>
          <w:color w:val="000000" w:themeColor="text1"/>
          <w:szCs w:val="32"/>
          <w14:textFill>
            <w14:solidFill>
              <w14:schemeClr w14:val="tx1"/>
            </w14:solidFill>
          </w14:textFill>
        </w:rPr>
        <w:t>年全国卫生专业技术资格考试报名复审时间安排表》（见附件2）安排备齐相关资料到成都市卫生健康人才交流中心（成都市青羊区东城根下街2</w:t>
      </w:r>
      <w:r>
        <w:rPr>
          <w:color w:val="000000" w:themeColor="text1"/>
          <w:szCs w:val="32"/>
          <w14:textFill>
            <w14:solidFill>
              <w14:schemeClr w14:val="tx1"/>
            </w14:solidFill>
          </w14:textFill>
        </w:rPr>
        <w:t>4</w:t>
      </w:r>
      <w:r>
        <w:rPr>
          <w:rFonts w:hint="eastAsia"/>
          <w:color w:val="000000" w:themeColor="text1"/>
          <w:szCs w:val="32"/>
          <w14:textFill>
            <w14:solidFill>
              <w14:schemeClr w14:val="tx1"/>
            </w14:solidFill>
          </w14:textFill>
        </w:rPr>
        <w:t>号）进行资格复审。</w:t>
      </w:r>
    </w:p>
    <w:p>
      <w:pPr>
        <w:spacing w:line="579" w:lineRule="exact"/>
        <w:ind w:firstLine="640" w:firstLineChars="200"/>
        <w:rPr>
          <w:szCs w:val="32"/>
        </w:rPr>
      </w:pPr>
      <w:r>
        <w:rPr>
          <w:rFonts w:hint="eastAsia"/>
          <w:szCs w:val="32"/>
        </w:rPr>
        <w:t>（二）复审须提交下列证件及材料</w:t>
      </w:r>
    </w:p>
    <w:p>
      <w:pPr>
        <w:spacing w:line="579" w:lineRule="exact"/>
        <w:ind w:firstLine="640" w:firstLineChars="200"/>
        <w:rPr>
          <w:szCs w:val="32"/>
        </w:rPr>
      </w:pPr>
      <w:r>
        <w:rPr>
          <w:rFonts w:hint="eastAsia"/>
          <w:szCs w:val="32"/>
        </w:rPr>
        <w:t>1、经考生签字的《2</w:t>
      </w:r>
      <w:r>
        <w:rPr>
          <w:szCs w:val="32"/>
        </w:rPr>
        <w:t>02</w:t>
      </w:r>
      <w:r>
        <w:rPr>
          <w:rFonts w:hint="eastAsia"/>
          <w:szCs w:val="32"/>
          <w:lang w:val="en-US" w:eastAsia="zh-CN"/>
        </w:rPr>
        <w:t>5</w:t>
      </w:r>
      <w:r>
        <w:rPr>
          <w:rFonts w:hint="eastAsia"/>
          <w:szCs w:val="32"/>
        </w:rPr>
        <w:t>年度卫生专业技术资格考试报名信息确认单》（由各区（市）县、各单位现场资格确认时打印</w:t>
      </w:r>
      <w:r>
        <w:rPr>
          <w:rFonts w:hint="eastAsia"/>
          <w:szCs w:val="32"/>
          <w:lang w:eastAsia="zh-CN"/>
        </w:rPr>
        <w:t>，</w:t>
      </w:r>
      <w:r>
        <w:rPr>
          <w:rFonts w:hint="eastAsia"/>
          <w:szCs w:val="32"/>
          <w:lang w:val="en-US" w:eastAsia="zh-CN"/>
        </w:rPr>
        <w:t>并装订在每位考生报名材料首页</w:t>
      </w:r>
      <w:r>
        <w:rPr>
          <w:rFonts w:hint="eastAsia"/>
          <w:szCs w:val="32"/>
        </w:rPr>
        <w:t>）；</w:t>
      </w:r>
    </w:p>
    <w:p>
      <w:pPr>
        <w:spacing w:line="579" w:lineRule="exact"/>
        <w:ind w:firstLine="640" w:firstLineChars="200"/>
        <w:rPr>
          <w:szCs w:val="32"/>
        </w:rPr>
      </w:pPr>
      <w:r>
        <w:rPr>
          <w:rFonts w:hint="eastAsia"/>
          <w:szCs w:val="32"/>
        </w:rPr>
        <w:t>2、单位审查并加盖单位人事部门公章的《2</w:t>
      </w:r>
      <w:r>
        <w:rPr>
          <w:szCs w:val="32"/>
        </w:rPr>
        <w:t>02</w:t>
      </w:r>
      <w:r>
        <w:rPr>
          <w:rFonts w:hint="eastAsia"/>
          <w:szCs w:val="32"/>
          <w:lang w:val="en-US" w:eastAsia="zh-CN"/>
        </w:rPr>
        <w:t>5</w:t>
      </w:r>
      <w:r>
        <w:rPr>
          <w:rFonts w:hint="eastAsia"/>
          <w:szCs w:val="32"/>
        </w:rPr>
        <w:t>年度卫生专业技术资格考试报名申报表》（网上填报后下载打印）。考生如在打印申报表后对个人报考信息进行了修改，须重新打印并盖章。</w:t>
      </w:r>
    </w:p>
    <w:p>
      <w:pPr>
        <w:overflowPunct w:val="0"/>
        <w:adjustRightInd w:val="0"/>
        <w:snapToGrid w:val="0"/>
        <w:spacing w:line="580" w:lineRule="exact"/>
        <w:ind w:firstLine="640" w:firstLineChars="200"/>
        <w:rPr>
          <w:rFonts w:ascii="仿宋_GB2312" w:hAnsi="仿宋"/>
          <w:b/>
          <w:bCs/>
        </w:rPr>
      </w:pPr>
      <w:r>
        <w:rPr>
          <w:rFonts w:hint="eastAsia"/>
          <w:szCs w:val="32"/>
        </w:rPr>
        <w:t>3、学历证书、资格证书、执业证书、工作证明、住院医师规范化培训合格证书等相关证件原件及复印件。专科及以上学历需要同时提供《教育部学历证电子注册备案表》或国家教育行政部门指定的高等教育学历认证机构出具的《中国高等教育学历认证报告》，学历查询码有效期至2</w:t>
      </w:r>
      <w:r>
        <w:rPr>
          <w:szCs w:val="32"/>
        </w:rPr>
        <w:t>02</w:t>
      </w:r>
      <w:r>
        <w:rPr>
          <w:rFonts w:hint="eastAsia"/>
          <w:szCs w:val="32"/>
          <w:lang w:val="en-US" w:eastAsia="zh-CN"/>
        </w:rPr>
        <w:t>5</w:t>
      </w:r>
      <w:r>
        <w:rPr>
          <w:rFonts w:hint="eastAsia"/>
          <w:szCs w:val="32"/>
        </w:rPr>
        <w:t>年</w:t>
      </w:r>
      <w:r>
        <w:rPr>
          <w:szCs w:val="32"/>
        </w:rPr>
        <w:t>1</w:t>
      </w:r>
      <w:r>
        <w:rPr>
          <w:rFonts w:hint="eastAsia"/>
          <w:szCs w:val="32"/>
        </w:rPr>
        <w:t>月</w:t>
      </w:r>
      <w:r>
        <w:rPr>
          <w:szCs w:val="32"/>
        </w:rPr>
        <w:t>2</w:t>
      </w:r>
      <w:r>
        <w:rPr>
          <w:rFonts w:hint="eastAsia"/>
          <w:szCs w:val="32"/>
          <w:lang w:val="en-US" w:eastAsia="zh-CN"/>
        </w:rPr>
        <w:t>7</w:t>
      </w:r>
      <w:r>
        <w:rPr>
          <w:rFonts w:hint="eastAsia"/>
          <w:szCs w:val="32"/>
        </w:rPr>
        <w:t>日；</w:t>
      </w:r>
    </w:p>
    <w:p>
      <w:pPr>
        <w:spacing w:line="579" w:lineRule="exact"/>
        <w:ind w:firstLine="640" w:firstLineChars="200"/>
        <w:rPr>
          <w:szCs w:val="32"/>
        </w:rPr>
      </w:pPr>
      <w:r>
        <w:rPr>
          <w:rFonts w:hint="eastAsia"/>
          <w:szCs w:val="32"/>
        </w:rPr>
        <w:t>4、居民身份证原件及复印件；</w:t>
      </w:r>
    </w:p>
    <w:p>
      <w:pPr>
        <w:spacing w:line="579" w:lineRule="exact"/>
        <w:ind w:firstLine="640" w:firstLineChars="200"/>
        <w:rPr>
          <w:szCs w:val="32"/>
        </w:rPr>
      </w:pPr>
      <w:r>
        <w:rPr>
          <w:rFonts w:hint="eastAsia"/>
          <w:szCs w:val="32"/>
        </w:rPr>
        <w:t>5、其他相关证明材料；</w:t>
      </w:r>
    </w:p>
    <w:p>
      <w:pPr>
        <w:overflowPunct w:val="0"/>
        <w:adjustRightInd w:val="0"/>
        <w:snapToGrid w:val="0"/>
        <w:spacing w:line="580" w:lineRule="exact"/>
        <w:ind w:firstLine="640" w:firstLineChars="200"/>
        <w:rPr>
          <w:szCs w:val="32"/>
        </w:rPr>
      </w:pPr>
      <w:r>
        <w:rPr>
          <w:rFonts w:hint="eastAsia"/>
          <w:szCs w:val="32"/>
        </w:rPr>
        <w:t>6、考生网上报名所填报考信息的准确性由本人负责，报考者提供涉及报考资格的申报材料虚假或不实的，由报考者本人承担违纪责任。考生应仔细核对《202</w:t>
      </w:r>
      <w:r>
        <w:rPr>
          <w:rFonts w:hint="eastAsia"/>
          <w:szCs w:val="32"/>
          <w:lang w:val="en-US" w:eastAsia="zh-CN"/>
        </w:rPr>
        <w:t>5</w:t>
      </w:r>
      <w:r>
        <w:rPr>
          <w:rFonts w:hint="eastAsia"/>
          <w:szCs w:val="32"/>
        </w:rPr>
        <w:t>年度卫生专业技术资格考试报名信息确认单》，并须本人在确认单上签署姓名，上交考试管理机构备案，一经确认不得修改。</w:t>
      </w:r>
    </w:p>
    <w:p>
      <w:pPr>
        <w:spacing w:line="579" w:lineRule="exact"/>
        <w:ind w:firstLine="640" w:firstLineChars="200"/>
        <w:rPr>
          <w:szCs w:val="32"/>
        </w:rPr>
      </w:pPr>
      <w:r>
        <w:rPr>
          <w:rFonts w:hint="eastAsia"/>
          <w:szCs w:val="32"/>
        </w:rPr>
        <w:t>7、新冠肺炎疫情防控一线医务人员工作证明</w:t>
      </w:r>
      <w:r>
        <w:rPr>
          <w:rFonts w:hint="eastAsia" w:ascii="仿宋_GB2312" w:hAnsi="仿宋_GB2312"/>
          <w:szCs w:val="32"/>
        </w:rPr>
        <w:t>（附件5），须有主管部门审核意见及签章；</w:t>
      </w:r>
    </w:p>
    <w:p>
      <w:pPr>
        <w:spacing w:line="579" w:lineRule="exact"/>
        <w:ind w:firstLine="640" w:firstLineChars="200"/>
        <w:rPr>
          <w:szCs w:val="32"/>
        </w:rPr>
      </w:pPr>
      <w:r>
        <w:rPr>
          <w:rFonts w:hint="eastAsia"/>
          <w:szCs w:val="32"/>
        </w:rPr>
        <w:t>8、考生所在医疗机构《医疗机构执业许可证》或卫生机构《组织机构代码证书》。</w:t>
      </w:r>
    </w:p>
    <w:p>
      <w:pPr>
        <w:spacing w:line="579" w:lineRule="exact"/>
        <w:ind w:firstLine="640" w:firstLineChars="200"/>
        <w:rPr>
          <w:szCs w:val="32"/>
        </w:rPr>
      </w:pPr>
      <w:r>
        <w:rPr>
          <w:rFonts w:hint="eastAsia"/>
          <w:szCs w:val="32"/>
        </w:rPr>
        <w:t>9、所有材料需提交原件审查，交复印件一套，复印件由初审单位审核人签字并加盖单位鲜章。</w:t>
      </w:r>
    </w:p>
    <w:p>
      <w:pPr>
        <w:spacing w:line="579" w:lineRule="exact"/>
        <w:ind w:firstLine="640" w:firstLineChars="200"/>
        <w:rPr>
          <w:rFonts w:hint="eastAsia"/>
          <w:szCs w:val="32"/>
        </w:rPr>
      </w:pPr>
      <w:r>
        <w:rPr>
          <w:rFonts w:hint="eastAsia"/>
          <w:szCs w:val="32"/>
        </w:rPr>
        <w:t>1</w:t>
      </w:r>
      <w:r>
        <w:rPr>
          <w:szCs w:val="32"/>
        </w:rPr>
        <w:t>0</w:t>
      </w:r>
      <w:r>
        <w:rPr>
          <w:rFonts w:hint="eastAsia"/>
          <w:szCs w:val="32"/>
        </w:rPr>
        <w:t>、各区（市）县，各单位填报《202</w:t>
      </w:r>
      <w:r>
        <w:rPr>
          <w:rFonts w:hint="eastAsia"/>
          <w:szCs w:val="32"/>
          <w:lang w:val="en-US" w:eastAsia="zh-CN"/>
        </w:rPr>
        <w:t>5</w:t>
      </w:r>
      <w:r>
        <w:rPr>
          <w:rFonts w:hint="eastAsia"/>
          <w:szCs w:val="32"/>
        </w:rPr>
        <w:t>年全国卫生专业技术资格考试报名花名册》（见附件3）一份，按照中级，初级（师），初级（士）分类造册填报；报考基层卫生人员须单独造册，填报《202</w:t>
      </w:r>
      <w:r>
        <w:rPr>
          <w:rFonts w:hint="eastAsia"/>
          <w:szCs w:val="32"/>
          <w:lang w:val="en-US" w:eastAsia="zh-CN"/>
        </w:rPr>
        <w:t>5</w:t>
      </w:r>
      <w:r>
        <w:rPr>
          <w:rFonts w:hint="eastAsia"/>
          <w:szCs w:val="32"/>
        </w:rPr>
        <w:t>年全国卫生专业技术资格考试（基层卫生）报名花名册》（见附件4）一份；上报花名册须加盖单位公章。</w:t>
      </w:r>
    </w:p>
    <w:p>
      <w:pPr>
        <w:spacing w:line="579" w:lineRule="exact"/>
        <w:ind w:firstLine="640" w:firstLineChars="200"/>
        <w:rPr>
          <w:rFonts w:hint="default" w:eastAsia="仿宋_GB2312"/>
          <w:szCs w:val="32"/>
          <w:lang w:val="en-US" w:eastAsia="zh-CN"/>
        </w:rPr>
      </w:pPr>
      <w:r>
        <w:rPr>
          <w:rFonts w:hint="eastAsia"/>
          <w:szCs w:val="32"/>
          <w:lang w:val="en-US" w:eastAsia="zh-CN"/>
        </w:rPr>
        <w:t>11、人事（劳动）关系证明等其他相关证明材料。</w:t>
      </w:r>
    </w:p>
    <w:p>
      <w:pPr>
        <w:spacing w:line="579" w:lineRule="exact"/>
        <w:ind w:firstLine="640" w:firstLineChars="200"/>
        <w:rPr>
          <w:rFonts w:ascii="黑体" w:hAnsi="黑体" w:eastAsia="黑体"/>
          <w:szCs w:val="32"/>
        </w:rPr>
      </w:pPr>
      <w:r>
        <w:rPr>
          <w:rFonts w:hint="eastAsia" w:ascii="黑体" w:hAnsi="黑体" w:eastAsia="黑体"/>
          <w:szCs w:val="32"/>
        </w:rPr>
        <w:t>五、网上缴费</w:t>
      </w:r>
    </w:p>
    <w:p>
      <w:pPr>
        <w:spacing w:line="579" w:lineRule="exact"/>
        <w:ind w:firstLine="640" w:firstLineChars="200"/>
        <w:rPr>
          <w:szCs w:val="32"/>
        </w:rPr>
      </w:pPr>
      <w:r>
        <w:rPr>
          <w:rFonts w:hint="eastAsia"/>
          <w:szCs w:val="32"/>
        </w:rPr>
        <w:t>考生在资格审核期间须及时查看资格审核状态。所有考生待考区</w:t>
      </w:r>
      <w:r>
        <w:rPr>
          <w:rFonts w:hint="eastAsia"/>
          <w:color w:val="000000" w:themeColor="text1"/>
          <w:szCs w:val="32"/>
          <w14:textFill>
            <w14:solidFill>
              <w14:schemeClr w14:val="tx1"/>
            </w14:solidFill>
          </w14:textFill>
        </w:rPr>
        <w:t>终审</w:t>
      </w:r>
      <w:r>
        <w:rPr>
          <w:rFonts w:hint="eastAsia"/>
          <w:szCs w:val="32"/>
        </w:rPr>
        <w:t>通过后，须在202</w:t>
      </w:r>
      <w:r>
        <w:rPr>
          <w:rFonts w:hint="eastAsia"/>
          <w:szCs w:val="32"/>
          <w:lang w:val="en-US" w:eastAsia="zh-CN"/>
        </w:rPr>
        <w:t>5</w:t>
      </w:r>
      <w:r>
        <w:rPr>
          <w:rFonts w:hint="eastAsia"/>
          <w:szCs w:val="32"/>
        </w:rPr>
        <w:t>年</w:t>
      </w:r>
      <w:r>
        <w:rPr>
          <w:rFonts w:hint="eastAsia"/>
          <w:szCs w:val="32"/>
          <w:lang w:val="en-US" w:eastAsia="zh-CN"/>
        </w:rPr>
        <w:t>2</w:t>
      </w:r>
      <w:r>
        <w:rPr>
          <w:rFonts w:hint="eastAsia"/>
          <w:szCs w:val="32"/>
        </w:rPr>
        <w:t>月</w:t>
      </w:r>
      <w:r>
        <w:rPr>
          <w:rFonts w:hint="eastAsia"/>
          <w:szCs w:val="32"/>
          <w:lang w:val="en-US" w:eastAsia="zh-CN"/>
        </w:rPr>
        <w:t>7</w:t>
      </w:r>
      <w:r>
        <w:rPr>
          <w:rFonts w:hint="eastAsia"/>
          <w:szCs w:val="32"/>
        </w:rPr>
        <w:t>日-</w:t>
      </w:r>
      <w:r>
        <w:rPr>
          <w:szCs w:val="32"/>
        </w:rPr>
        <w:t>2</w:t>
      </w:r>
      <w:r>
        <w:rPr>
          <w:rFonts w:hint="eastAsia"/>
          <w:szCs w:val="32"/>
        </w:rPr>
        <w:t>月</w:t>
      </w:r>
      <w:r>
        <w:rPr>
          <w:rFonts w:hint="eastAsia"/>
          <w:szCs w:val="32"/>
          <w:lang w:val="en-US" w:eastAsia="zh-CN"/>
        </w:rPr>
        <w:t>16</w:t>
      </w:r>
      <w:r>
        <w:rPr>
          <w:rFonts w:hint="eastAsia"/>
          <w:szCs w:val="32"/>
        </w:rPr>
        <w:t>日期间通过网上支付方式缴纳考试费，未按规定时间完成网上缴费的，视为自动放弃考试，不受理现场缴费。</w:t>
      </w:r>
    </w:p>
    <w:p>
      <w:pPr>
        <w:spacing w:line="579" w:lineRule="exact"/>
        <w:ind w:firstLine="640" w:firstLineChars="200"/>
        <w:rPr>
          <w:szCs w:val="32"/>
        </w:rPr>
      </w:pPr>
      <w:r>
        <w:rPr>
          <w:rFonts w:hint="eastAsia"/>
          <w:szCs w:val="32"/>
        </w:rPr>
        <w:t>考试收费标准按照</w:t>
      </w:r>
      <w:r>
        <w:rPr>
          <w:rFonts w:hint="eastAsia"/>
          <w:szCs w:val="32"/>
          <w:highlight w:val="none"/>
          <w:lang w:eastAsia="zh-CN"/>
        </w:rPr>
        <w:t>《</w:t>
      </w:r>
      <w:r>
        <w:rPr>
          <w:rFonts w:hint="eastAsia"/>
          <w:szCs w:val="32"/>
        </w:rPr>
        <w:t>四川省财政厅、四川省卫生健康委员会关于调整卫生专业技术资格考试暨护士执业资格考试收费分成有关问题的通知</w:t>
      </w:r>
      <w:r>
        <w:rPr>
          <w:rFonts w:hint="eastAsia"/>
          <w:szCs w:val="32"/>
          <w:highlight w:val="none"/>
        </w:rPr>
        <w:t>》</w:t>
      </w:r>
      <w:r>
        <w:rPr>
          <w:rFonts w:hint="eastAsia"/>
          <w:szCs w:val="32"/>
        </w:rPr>
        <w:t>（川财社〔2019〕65号）相关规定执行。参加初级资格考试人员每人每科收取考试费50元；参加中级资格考试人员每人每科收取考试费70元。</w:t>
      </w:r>
    </w:p>
    <w:p>
      <w:pPr>
        <w:spacing w:line="579" w:lineRule="exact"/>
        <w:ind w:firstLine="640" w:firstLineChars="200"/>
        <w:rPr>
          <w:rFonts w:ascii="黑体" w:hAnsi="黑体" w:eastAsia="黑体"/>
          <w:szCs w:val="32"/>
        </w:rPr>
      </w:pPr>
      <w:r>
        <w:rPr>
          <w:rFonts w:hint="eastAsia" w:ascii="黑体" w:hAnsi="黑体" w:eastAsia="黑体"/>
          <w:szCs w:val="32"/>
        </w:rPr>
        <w:t>六、考生准考证打印</w:t>
      </w:r>
    </w:p>
    <w:p>
      <w:pPr>
        <w:spacing w:line="579" w:lineRule="exact"/>
        <w:ind w:firstLine="640" w:firstLineChars="200"/>
        <w:rPr>
          <w:szCs w:val="32"/>
        </w:rPr>
      </w:pPr>
      <w:r>
        <w:rPr>
          <w:rFonts w:hint="eastAsia"/>
          <w:szCs w:val="32"/>
        </w:rPr>
        <w:t>考生可登录国家卫生健康委人才交流服务中心官网</w:t>
      </w:r>
      <w:r>
        <w:rPr>
          <w:rFonts w:hint="eastAsia"/>
          <w:szCs w:val="32"/>
          <w:highlight w:val="none"/>
        </w:rPr>
        <w:t>（www.21wecan.com）打印准</w:t>
      </w:r>
      <w:r>
        <w:rPr>
          <w:rFonts w:hint="eastAsia"/>
          <w:szCs w:val="32"/>
        </w:rPr>
        <w:t>考证，卫生专业技术资格考试准考证打印时间为2</w:t>
      </w:r>
      <w:r>
        <w:rPr>
          <w:szCs w:val="32"/>
        </w:rPr>
        <w:t>02</w:t>
      </w:r>
      <w:r>
        <w:rPr>
          <w:rFonts w:hint="eastAsia"/>
          <w:szCs w:val="32"/>
          <w:lang w:val="en-US" w:eastAsia="zh-CN"/>
        </w:rPr>
        <w:t>5</w:t>
      </w:r>
      <w:r>
        <w:rPr>
          <w:rFonts w:hint="eastAsia"/>
          <w:szCs w:val="32"/>
        </w:rPr>
        <w:t>年</w:t>
      </w:r>
      <w:r>
        <w:rPr>
          <w:szCs w:val="32"/>
        </w:rPr>
        <w:t>4</w:t>
      </w:r>
      <w:r>
        <w:rPr>
          <w:rFonts w:hint="eastAsia"/>
          <w:szCs w:val="32"/>
        </w:rPr>
        <w:t>月</w:t>
      </w:r>
      <w:r>
        <w:rPr>
          <w:rFonts w:hint="eastAsia"/>
          <w:szCs w:val="32"/>
          <w:lang w:val="en-US" w:eastAsia="zh-CN"/>
        </w:rPr>
        <w:t>2日</w:t>
      </w:r>
      <w:r>
        <w:rPr>
          <w:rFonts w:hint="eastAsia"/>
          <w:szCs w:val="32"/>
        </w:rPr>
        <w:t>-</w:t>
      </w:r>
      <w:r>
        <w:rPr>
          <w:rFonts w:hint="eastAsia"/>
          <w:szCs w:val="32"/>
          <w:lang w:val="en-US" w:eastAsia="zh-CN"/>
        </w:rPr>
        <w:t>4月</w:t>
      </w:r>
      <w:r>
        <w:rPr>
          <w:szCs w:val="32"/>
        </w:rPr>
        <w:t>2</w:t>
      </w:r>
      <w:r>
        <w:rPr>
          <w:rFonts w:hint="eastAsia"/>
          <w:szCs w:val="32"/>
          <w:lang w:val="en-US" w:eastAsia="zh-CN"/>
        </w:rPr>
        <w:t>0</w:t>
      </w:r>
      <w:r>
        <w:rPr>
          <w:rFonts w:hint="eastAsia"/>
          <w:szCs w:val="32"/>
        </w:rPr>
        <w:t>日。</w:t>
      </w:r>
    </w:p>
    <w:p>
      <w:pPr>
        <w:numPr>
          <w:ilvl w:val="0"/>
          <w:numId w:val="1"/>
        </w:numPr>
        <w:spacing w:line="579" w:lineRule="exact"/>
        <w:ind w:firstLine="640" w:firstLineChars="200"/>
        <w:rPr>
          <w:rFonts w:ascii="黑体" w:hAnsi="黑体" w:eastAsia="黑体"/>
          <w:szCs w:val="32"/>
        </w:rPr>
      </w:pPr>
      <w:r>
        <w:rPr>
          <w:rFonts w:hint="eastAsia" w:ascii="黑体" w:hAnsi="黑体" w:eastAsia="黑体"/>
          <w:szCs w:val="32"/>
        </w:rPr>
        <w:t>工作要求</w:t>
      </w:r>
    </w:p>
    <w:p>
      <w:pPr>
        <w:spacing w:line="579" w:lineRule="exact"/>
        <w:ind w:firstLine="640" w:firstLineChars="200"/>
        <w:rPr>
          <w:szCs w:val="32"/>
        </w:rPr>
      </w:pPr>
      <w:r>
        <w:rPr>
          <w:rFonts w:hint="eastAsia"/>
          <w:szCs w:val="32"/>
        </w:rPr>
        <w:t>（一）本次全国卫生专业技术资格考试成都考点工作由成都市卫生健康人才交流中心具体组织实施，各区（市）县卫健部门、各单位要加强联系，严格按照考试工作内容和时间要求，周密安排，落实责任，做好组织工作。</w:t>
      </w:r>
    </w:p>
    <w:p>
      <w:pPr>
        <w:spacing w:line="579" w:lineRule="exact"/>
        <w:ind w:firstLine="640" w:firstLineChars="200"/>
        <w:rPr>
          <w:szCs w:val="32"/>
        </w:rPr>
      </w:pPr>
      <w:r>
        <w:rPr>
          <w:rFonts w:hint="eastAsia"/>
          <w:szCs w:val="32"/>
        </w:rPr>
        <w:t>（二）各区（市）县，各单位须在规定时间内完成资格初审及现场资格确认，资格确认账号务必专人严格管理，不得泄露信息。</w:t>
      </w:r>
    </w:p>
    <w:p>
      <w:pPr>
        <w:spacing w:line="579" w:lineRule="exact"/>
        <w:ind w:firstLine="640" w:firstLineChars="200"/>
        <w:rPr>
          <w:szCs w:val="32"/>
        </w:rPr>
      </w:pPr>
      <w:r>
        <w:rPr>
          <w:rFonts w:hint="eastAsia"/>
          <w:szCs w:val="32"/>
        </w:rPr>
        <w:t>（三）要加强对报考考生的政策、报名程序的宣传和组织。要加大对《专业技术人员资格考试违纪违规行为处理规定》（人力资源和社会保障部令第31号）的宣传力度，对考生进行遵纪守法教育。各报名点要在现场公示考试纪律，使每个考生了解考试纪律规定，充分认识违纪违规行为给个人和社会带来的危害。</w:t>
      </w:r>
    </w:p>
    <w:p>
      <w:pPr>
        <w:spacing w:line="579" w:lineRule="exact"/>
        <w:ind w:firstLine="640" w:firstLineChars="200"/>
        <w:rPr>
          <w:szCs w:val="32"/>
        </w:rPr>
      </w:pPr>
      <w:r>
        <w:rPr>
          <w:rFonts w:hint="eastAsia"/>
          <w:szCs w:val="32"/>
        </w:rPr>
        <w:t>（四）各区（市）县、各单位要严格按照相关文件的规定进行考试资格初审，不得擅自放宽报考条件。工作人员有违纪行为的，一律按照《专业技术人员资格考试违纪违规行为处理规定》（人力资源和社会保障部令第31号）进行责任追究，严肃处理。</w:t>
      </w:r>
    </w:p>
    <w:p>
      <w:pPr>
        <w:spacing w:line="579" w:lineRule="exact"/>
        <w:ind w:firstLine="640" w:firstLineChars="200"/>
        <w:rPr>
          <w:szCs w:val="32"/>
        </w:rPr>
      </w:pPr>
    </w:p>
    <w:p>
      <w:pPr>
        <w:spacing w:line="579" w:lineRule="exact"/>
        <w:ind w:firstLine="640" w:firstLineChars="200"/>
        <w:rPr>
          <w:szCs w:val="32"/>
        </w:rPr>
      </w:pPr>
    </w:p>
    <w:p>
      <w:pPr>
        <w:spacing w:line="579" w:lineRule="exact"/>
        <w:ind w:left="2240" w:leftChars="200" w:hanging="1600" w:hangingChars="500"/>
        <w:rPr>
          <w:color w:val="000000" w:themeColor="text1"/>
          <w:szCs w:val="32"/>
          <w14:textFill>
            <w14:solidFill>
              <w14:schemeClr w14:val="tx1"/>
            </w14:solidFill>
          </w14:textFill>
        </w:rPr>
      </w:pPr>
      <w:r>
        <w:rPr>
          <w:rFonts w:hint="eastAsia"/>
          <w:szCs w:val="32"/>
        </w:rPr>
        <w:t>附件：</w:t>
      </w:r>
      <w:r>
        <w:rPr>
          <w:rFonts w:hint="eastAsia"/>
          <w:color w:val="000000" w:themeColor="text1"/>
          <w:szCs w:val="32"/>
          <w14:textFill>
            <w14:solidFill>
              <w14:schemeClr w14:val="tx1"/>
            </w14:solidFill>
          </w14:textFill>
        </w:rPr>
        <w:t>1.《四川省卫生健康委员会关于做好202</w:t>
      </w:r>
      <w:r>
        <w:rPr>
          <w:rFonts w:hint="eastAsia"/>
          <w:color w:val="000000" w:themeColor="text1"/>
          <w:szCs w:val="32"/>
          <w:lang w:val="en-US" w:eastAsia="zh-CN"/>
          <w14:textFill>
            <w14:solidFill>
              <w14:schemeClr w14:val="tx1"/>
            </w14:solidFill>
          </w14:textFill>
        </w:rPr>
        <w:t>5</w:t>
      </w:r>
      <w:r>
        <w:rPr>
          <w:rFonts w:hint="eastAsia"/>
          <w:color w:val="000000" w:themeColor="text1"/>
          <w:szCs w:val="32"/>
          <w14:textFill>
            <w14:solidFill>
              <w14:schemeClr w14:val="tx1"/>
            </w14:solidFill>
          </w14:textFill>
        </w:rPr>
        <w:t>年度卫生专业技术资格考试工作的通知》</w:t>
      </w:r>
    </w:p>
    <w:p>
      <w:pPr>
        <w:spacing w:line="579" w:lineRule="exact"/>
        <w:ind w:left="2112" w:leftChars="510" w:hanging="480" w:hangingChars="15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2．成都考点202</w:t>
      </w:r>
      <w:r>
        <w:rPr>
          <w:rFonts w:hint="eastAsia"/>
          <w:color w:val="000000" w:themeColor="text1"/>
          <w:szCs w:val="32"/>
          <w:lang w:val="en-US" w:eastAsia="zh-CN"/>
          <w14:textFill>
            <w14:solidFill>
              <w14:schemeClr w14:val="tx1"/>
            </w14:solidFill>
          </w14:textFill>
        </w:rPr>
        <w:t>5</w:t>
      </w:r>
      <w:r>
        <w:rPr>
          <w:rFonts w:hint="eastAsia"/>
          <w:color w:val="000000" w:themeColor="text1"/>
          <w:szCs w:val="32"/>
          <w14:textFill>
            <w14:solidFill>
              <w14:schemeClr w14:val="tx1"/>
            </w14:solidFill>
          </w14:textFill>
        </w:rPr>
        <w:t>年全国卫生专业技术资格考试报名复审时间安排表</w:t>
      </w:r>
    </w:p>
    <w:p>
      <w:pPr>
        <w:spacing w:line="579" w:lineRule="exact"/>
        <w:ind w:left="1952" w:leftChars="510" w:hanging="320" w:hangingChars="1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3. 202</w:t>
      </w:r>
      <w:r>
        <w:rPr>
          <w:rFonts w:hint="eastAsia"/>
          <w:color w:val="000000" w:themeColor="text1"/>
          <w:szCs w:val="32"/>
          <w:lang w:val="en-US" w:eastAsia="zh-CN"/>
          <w14:textFill>
            <w14:solidFill>
              <w14:schemeClr w14:val="tx1"/>
            </w14:solidFill>
          </w14:textFill>
        </w:rPr>
        <w:t>5</w:t>
      </w:r>
      <w:r>
        <w:rPr>
          <w:rFonts w:hint="eastAsia"/>
          <w:color w:val="000000" w:themeColor="text1"/>
          <w:szCs w:val="32"/>
          <w14:textFill>
            <w14:solidFill>
              <w14:schemeClr w14:val="tx1"/>
            </w14:solidFill>
          </w14:textFill>
        </w:rPr>
        <w:t>年全国卫生专业技术资格考试报名花名册</w:t>
      </w:r>
    </w:p>
    <w:p>
      <w:pPr>
        <w:spacing w:line="579" w:lineRule="exact"/>
        <w:ind w:firstLine="1600" w:firstLineChars="5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4. 202</w:t>
      </w:r>
      <w:r>
        <w:rPr>
          <w:rFonts w:hint="eastAsia"/>
          <w:color w:val="000000" w:themeColor="text1"/>
          <w:szCs w:val="32"/>
          <w:lang w:val="en-US" w:eastAsia="zh-CN"/>
          <w14:textFill>
            <w14:solidFill>
              <w14:schemeClr w14:val="tx1"/>
            </w14:solidFill>
          </w14:textFill>
        </w:rPr>
        <w:t>5</w:t>
      </w:r>
      <w:r>
        <w:rPr>
          <w:rFonts w:hint="eastAsia"/>
          <w:color w:val="000000" w:themeColor="text1"/>
          <w:szCs w:val="32"/>
          <w14:textFill>
            <w14:solidFill>
              <w14:schemeClr w14:val="tx1"/>
            </w14:solidFill>
          </w14:textFill>
        </w:rPr>
        <w:t>年全国卫生专业技术资格考试（基层卫生）</w:t>
      </w:r>
    </w:p>
    <w:p>
      <w:pPr>
        <w:spacing w:line="579" w:lineRule="exact"/>
        <w:ind w:left="1952" w:leftChars="610" w:firstLine="160" w:firstLineChars="5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报名花名册</w:t>
      </w:r>
    </w:p>
    <w:p>
      <w:pPr>
        <w:spacing w:line="660" w:lineRule="exact"/>
        <w:ind w:left="1662"/>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5.新冠肺炎疫情防控一线医务人员工作证明</w:t>
      </w:r>
    </w:p>
    <w:p>
      <w:pPr>
        <w:spacing w:line="579" w:lineRule="exact"/>
        <w:rPr>
          <w:szCs w:val="32"/>
        </w:rPr>
      </w:pPr>
    </w:p>
    <w:p>
      <w:pPr>
        <w:spacing w:line="579" w:lineRule="exact"/>
        <w:rPr>
          <w:szCs w:val="32"/>
        </w:rPr>
      </w:pPr>
    </w:p>
    <w:p>
      <w:pPr>
        <w:spacing w:line="579" w:lineRule="exact"/>
        <w:rPr>
          <w:szCs w:val="32"/>
        </w:rPr>
      </w:pPr>
    </w:p>
    <w:p>
      <w:pPr>
        <w:spacing w:line="579" w:lineRule="exact"/>
        <w:ind w:firstLine="5440" w:firstLineChars="1700"/>
        <w:rPr>
          <w:szCs w:val="32"/>
        </w:rPr>
      </w:pPr>
      <w:r>
        <w:rPr>
          <w:rFonts w:hint="eastAsia"/>
          <w:szCs w:val="32"/>
        </w:rPr>
        <w:t xml:space="preserve">成都市卫生健康委员会   </w:t>
      </w:r>
    </w:p>
    <w:p>
      <w:pPr>
        <w:spacing w:line="579" w:lineRule="exact"/>
        <w:ind w:firstLine="5920" w:firstLineChars="1850"/>
        <w:rPr>
          <w:szCs w:val="32"/>
        </w:rPr>
      </w:pPr>
      <w:r>
        <w:rPr>
          <w:rFonts w:hint="eastAsia"/>
          <w:szCs w:val="32"/>
        </w:rPr>
        <w:t>202</w:t>
      </w:r>
      <w:r>
        <w:rPr>
          <w:rFonts w:hint="eastAsia"/>
          <w:szCs w:val="32"/>
          <w:lang w:val="en-US" w:eastAsia="zh-CN"/>
        </w:rPr>
        <w:t>4</w:t>
      </w:r>
      <w:r>
        <w:rPr>
          <w:rFonts w:hint="eastAsia"/>
          <w:szCs w:val="32"/>
        </w:rPr>
        <w:t>年1</w:t>
      </w:r>
      <w:r>
        <w:rPr>
          <w:szCs w:val="32"/>
        </w:rPr>
        <w:t>1</w:t>
      </w:r>
      <w:r>
        <w:rPr>
          <w:rFonts w:hint="eastAsia"/>
          <w:szCs w:val="32"/>
        </w:rPr>
        <w:t>月2</w:t>
      </w:r>
      <w:r>
        <w:rPr>
          <w:rFonts w:hint="eastAsia"/>
          <w:szCs w:val="32"/>
          <w:lang w:val="en-US" w:eastAsia="zh-CN"/>
        </w:rPr>
        <w:t>1</w:t>
      </w:r>
      <w:r>
        <w:rPr>
          <w:rFonts w:hint="eastAsia"/>
          <w:szCs w:val="32"/>
        </w:rPr>
        <w:t>日</w:t>
      </w: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rFonts w:hint="eastAsia"/>
          <w:szCs w:val="32"/>
        </w:rPr>
      </w:pPr>
    </w:p>
    <w:p>
      <w:pPr>
        <w:widowControl/>
        <w:jc w:val="left"/>
        <w:rPr>
          <w:szCs w:val="32"/>
        </w:rPr>
      </w:pPr>
      <w:bookmarkStart w:id="0" w:name="_GoBack"/>
      <w:bookmarkEnd w:id="0"/>
      <w:r>
        <w:rPr>
          <w:rFonts w:hint="eastAsia"/>
          <w:szCs w:val="32"/>
        </w:rPr>
        <w:t>附件1</w:t>
      </w:r>
    </w:p>
    <w:p>
      <w:pPr>
        <w:widowControl/>
        <w:jc w:val="left"/>
      </w:pPr>
      <w:r>
        <w:t xml:space="preserve"> </w:t>
      </w:r>
    </w:p>
    <w:p>
      <w:pPr>
        <w:widowControl/>
        <w:jc w:val="left"/>
      </w:pPr>
      <w:r>
        <w:drawing>
          <wp:inline distT="0" distB="0" distL="114300" distR="114300">
            <wp:extent cx="5553075" cy="77914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553075" cy="7791450"/>
                    </a:xfrm>
                    <a:prstGeom prst="rect">
                      <a:avLst/>
                    </a:prstGeom>
                    <a:noFill/>
                    <a:ln>
                      <a:noFill/>
                    </a:ln>
                  </pic:spPr>
                </pic:pic>
              </a:graphicData>
            </a:graphic>
          </wp:inline>
        </w:drawing>
      </w:r>
    </w:p>
    <w:p>
      <w:pPr>
        <w:widowControl/>
        <w:jc w:val="left"/>
      </w:pPr>
    </w:p>
    <w:p>
      <w:pPr>
        <w:widowControl/>
        <w:jc w:val="left"/>
      </w:pPr>
    </w:p>
    <w:p>
      <w:pPr>
        <w:widowControl/>
        <w:jc w:val="left"/>
      </w:pPr>
      <w:r>
        <w:drawing>
          <wp:inline distT="0" distB="0" distL="114300" distR="114300">
            <wp:extent cx="5343525" cy="75057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343525" cy="7505700"/>
                    </a:xfrm>
                    <a:prstGeom prst="rect">
                      <a:avLst/>
                    </a:prstGeom>
                    <a:noFill/>
                    <a:ln>
                      <a:noFill/>
                    </a:ln>
                  </pic:spPr>
                </pic:pic>
              </a:graphicData>
            </a:graphic>
          </wp:inline>
        </w:drawing>
      </w:r>
    </w:p>
    <w:p>
      <w:pPr>
        <w:widowControl/>
        <w:jc w:val="left"/>
      </w:pPr>
    </w:p>
    <w:p>
      <w:pPr>
        <w:widowControl/>
        <w:jc w:val="left"/>
      </w:pPr>
      <w:r>
        <w:drawing>
          <wp:inline distT="0" distB="0" distL="114300" distR="114300">
            <wp:extent cx="5400675" cy="74104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400675" cy="7410450"/>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391150" cy="76009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5391150" cy="7600950"/>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r>
        <w:drawing>
          <wp:inline distT="0" distB="0" distL="114300" distR="114300">
            <wp:extent cx="5448300" cy="74580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5448300" cy="7458075"/>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362575" cy="74390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5362575" cy="7439025"/>
                    </a:xfrm>
                    <a:prstGeom prst="rect">
                      <a:avLst/>
                    </a:prstGeom>
                    <a:noFill/>
                    <a:ln>
                      <a:noFill/>
                    </a:ln>
                  </pic:spPr>
                </pic:pic>
              </a:graphicData>
            </a:graphic>
          </wp:inline>
        </w:drawing>
      </w:r>
    </w:p>
    <w:p>
      <w:pPr>
        <w:widowControl/>
        <w:jc w:val="left"/>
      </w:pPr>
    </w:p>
    <w:p>
      <w:pPr>
        <w:widowControl/>
        <w:jc w:val="left"/>
      </w:pPr>
      <w:r>
        <w:drawing>
          <wp:inline distT="0" distB="0" distL="114300" distR="114300">
            <wp:extent cx="5438775" cy="719137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stretch>
                      <a:fillRect/>
                    </a:stretch>
                  </pic:blipFill>
                  <pic:spPr>
                    <a:xfrm>
                      <a:off x="0" y="0"/>
                      <a:ext cx="5438775" cy="7191375"/>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343525" cy="74961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a:stretch>
                      <a:fillRect/>
                    </a:stretch>
                  </pic:blipFill>
                  <pic:spPr>
                    <a:xfrm>
                      <a:off x="0" y="0"/>
                      <a:ext cx="5343525" cy="7496175"/>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r>
        <w:drawing>
          <wp:inline distT="0" distB="0" distL="114300" distR="114300">
            <wp:extent cx="5343525" cy="77628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a:stretch>
                      <a:fillRect/>
                    </a:stretch>
                  </pic:blipFill>
                  <pic:spPr>
                    <a:xfrm>
                      <a:off x="0" y="0"/>
                      <a:ext cx="5343525" cy="7762875"/>
                    </a:xfrm>
                    <a:prstGeom prst="rect">
                      <a:avLst/>
                    </a:prstGeom>
                    <a:noFill/>
                    <a:ln>
                      <a:noFill/>
                    </a:ln>
                  </pic:spPr>
                </pic:pic>
              </a:graphicData>
            </a:graphic>
          </wp:inline>
        </w:drawing>
      </w:r>
    </w:p>
    <w:p>
      <w:pPr>
        <w:widowControl/>
        <w:jc w:val="left"/>
      </w:pPr>
    </w:p>
    <w:p>
      <w:pPr>
        <w:widowControl/>
        <w:jc w:val="left"/>
      </w:pPr>
      <w:r>
        <w:drawing>
          <wp:inline distT="0" distB="0" distL="114300" distR="114300">
            <wp:extent cx="5438775" cy="76200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5"/>
                    <a:stretch>
                      <a:fillRect/>
                    </a:stretch>
                  </pic:blipFill>
                  <pic:spPr>
                    <a:xfrm>
                      <a:off x="0" y="0"/>
                      <a:ext cx="5438775" cy="7620000"/>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429250" cy="74676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a:stretch>
                      <a:fillRect/>
                    </a:stretch>
                  </pic:blipFill>
                  <pic:spPr>
                    <a:xfrm>
                      <a:off x="0" y="0"/>
                      <a:ext cx="5429250" cy="7467600"/>
                    </a:xfrm>
                    <a:prstGeom prst="rect">
                      <a:avLst/>
                    </a:prstGeom>
                    <a:noFill/>
                    <a:ln>
                      <a:noFill/>
                    </a:ln>
                  </pic:spPr>
                </pic:pic>
              </a:graphicData>
            </a:graphic>
          </wp:inline>
        </w:drawing>
      </w:r>
    </w:p>
    <w:p>
      <w:pPr>
        <w:widowControl/>
        <w:jc w:val="left"/>
      </w:pPr>
    </w:p>
    <w:p>
      <w:pPr>
        <w:widowControl/>
        <w:jc w:val="left"/>
      </w:pPr>
      <w:r>
        <w:drawing>
          <wp:inline distT="0" distB="0" distL="114300" distR="114300">
            <wp:extent cx="5476875" cy="742950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stretch>
                      <a:fillRect/>
                    </a:stretch>
                  </pic:blipFill>
                  <pic:spPr>
                    <a:xfrm>
                      <a:off x="0" y="0"/>
                      <a:ext cx="5476875" cy="7429500"/>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r>
        <w:drawing>
          <wp:inline distT="0" distB="0" distL="114300" distR="114300">
            <wp:extent cx="5400675" cy="77533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8"/>
                    <a:stretch>
                      <a:fillRect/>
                    </a:stretch>
                  </pic:blipFill>
                  <pic:spPr>
                    <a:xfrm>
                      <a:off x="0" y="0"/>
                      <a:ext cx="5400675" cy="7753350"/>
                    </a:xfrm>
                    <a:prstGeom prst="rect">
                      <a:avLst/>
                    </a:prstGeom>
                    <a:noFill/>
                    <a:ln>
                      <a:noFill/>
                    </a:ln>
                  </pic:spPr>
                </pic:pic>
              </a:graphicData>
            </a:graphic>
          </wp:inline>
        </w:drawing>
      </w:r>
    </w:p>
    <w:p>
      <w:pPr>
        <w:widowControl/>
        <w:jc w:val="left"/>
      </w:pPr>
    </w:p>
    <w:p>
      <w:pPr>
        <w:widowControl/>
        <w:jc w:val="left"/>
      </w:pPr>
    </w:p>
    <w:p>
      <w:pPr>
        <w:widowControl/>
        <w:jc w:val="left"/>
      </w:pPr>
      <w:r>
        <w:drawing>
          <wp:inline distT="0" distB="0" distL="114300" distR="114300">
            <wp:extent cx="5467350" cy="76581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9"/>
                    <a:stretch>
                      <a:fillRect/>
                    </a:stretch>
                  </pic:blipFill>
                  <pic:spPr>
                    <a:xfrm>
                      <a:off x="0" y="0"/>
                      <a:ext cx="5467350" cy="7658100"/>
                    </a:xfrm>
                    <a:prstGeom prst="rect">
                      <a:avLst/>
                    </a:prstGeom>
                    <a:noFill/>
                    <a:ln>
                      <a:noFill/>
                    </a:ln>
                  </pic:spPr>
                </pic:pic>
              </a:graphicData>
            </a:graphic>
          </wp:inline>
        </w:drawing>
      </w:r>
    </w:p>
    <w:p>
      <w:pPr>
        <w:widowControl/>
        <w:jc w:val="left"/>
      </w:pPr>
    </w:p>
    <w:p>
      <w:pPr>
        <w:widowControl/>
        <w:jc w:val="left"/>
      </w:pPr>
    </w:p>
    <w:p>
      <w:pPr>
        <w:widowControl/>
        <w:jc w:val="left"/>
      </w:pPr>
      <w:r>
        <w:drawing>
          <wp:inline distT="0" distB="0" distL="114300" distR="114300">
            <wp:extent cx="5438775" cy="77533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0"/>
                    <a:stretch>
                      <a:fillRect/>
                    </a:stretch>
                  </pic:blipFill>
                  <pic:spPr>
                    <a:xfrm>
                      <a:off x="0" y="0"/>
                      <a:ext cx="5438775" cy="7753350"/>
                    </a:xfrm>
                    <a:prstGeom prst="rect">
                      <a:avLst/>
                    </a:prstGeom>
                    <a:noFill/>
                    <a:ln>
                      <a:noFill/>
                    </a:ln>
                  </pic:spPr>
                </pic:pic>
              </a:graphicData>
            </a:graphic>
          </wp:inline>
        </w:drawing>
      </w:r>
    </w:p>
    <w:p>
      <w:pPr>
        <w:widowControl/>
        <w:jc w:val="left"/>
      </w:pPr>
    </w:p>
    <w:p>
      <w:pPr>
        <w:widowControl/>
        <w:jc w:val="left"/>
      </w:pPr>
      <w:r>
        <w:drawing>
          <wp:inline distT="0" distB="0" distL="114300" distR="114300">
            <wp:extent cx="5467350" cy="76485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1"/>
                    <a:stretch>
                      <a:fillRect/>
                    </a:stretch>
                  </pic:blipFill>
                  <pic:spPr>
                    <a:xfrm>
                      <a:off x="0" y="0"/>
                      <a:ext cx="5467350" cy="7648575"/>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372100" cy="7477125"/>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2"/>
                    <a:stretch>
                      <a:fillRect/>
                    </a:stretch>
                  </pic:blipFill>
                  <pic:spPr>
                    <a:xfrm>
                      <a:off x="0" y="0"/>
                      <a:ext cx="5372100" cy="7477125"/>
                    </a:xfrm>
                    <a:prstGeom prst="rect">
                      <a:avLst/>
                    </a:prstGeom>
                    <a:noFill/>
                    <a:ln>
                      <a:noFill/>
                    </a:ln>
                  </pic:spPr>
                </pic:pic>
              </a:graphicData>
            </a:graphic>
          </wp:inline>
        </w:drawing>
      </w:r>
    </w:p>
    <w:p>
      <w:pPr>
        <w:widowControl/>
        <w:jc w:val="left"/>
      </w:pPr>
    </w:p>
    <w:p>
      <w:pPr>
        <w:widowControl/>
        <w:jc w:val="left"/>
      </w:pPr>
      <w:r>
        <w:drawing>
          <wp:inline distT="0" distB="0" distL="114300" distR="114300">
            <wp:extent cx="5429250" cy="73723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3"/>
                    <a:stretch>
                      <a:fillRect/>
                    </a:stretch>
                  </pic:blipFill>
                  <pic:spPr>
                    <a:xfrm>
                      <a:off x="0" y="0"/>
                      <a:ext cx="5429250" cy="7372350"/>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419725" cy="761047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4"/>
                    <a:stretch>
                      <a:fillRect/>
                    </a:stretch>
                  </pic:blipFill>
                  <pic:spPr>
                    <a:xfrm>
                      <a:off x="0" y="0"/>
                      <a:ext cx="5419725" cy="7610475"/>
                    </a:xfrm>
                    <a:prstGeom prst="rect">
                      <a:avLst/>
                    </a:prstGeom>
                    <a:noFill/>
                    <a:ln>
                      <a:noFill/>
                    </a:ln>
                  </pic:spPr>
                </pic:pic>
              </a:graphicData>
            </a:graphic>
          </wp:inline>
        </w:drawing>
      </w:r>
    </w:p>
    <w:p>
      <w:pPr>
        <w:widowControl/>
        <w:jc w:val="left"/>
      </w:pPr>
    </w:p>
    <w:p>
      <w:pPr>
        <w:widowControl/>
        <w:jc w:val="left"/>
      </w:pPr>
    </w:p>
    <w:p>
      <w:pPr>
        <w:widowControl/>
        <w:jc w:val="left"/>
      </w:pPr>
    </w:p>
    <w:p>
      <w:pPr>
        <w:widowControl/>
        <w:jc w:val="left"/>
      </w:pPr>
    </w:p>
    <w:p>
      <w:pPr>
        <w:widowControl/>
        <w:jc w:val="left"/>
      </w:pPr>
      <w:r>
        <w:drawing>
          <wp:inline distT="0" distB="0" distL="114300" distR="114300">
            <wp:extent cx="5314950" cy="75152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5"/>
                    <a:stretch>
                      <a:fillRect/>
                    </a:stretch>
                  </pic:blipFill>
                  <pic:spPr>
                    <a:xfrm>
                      <a:off x="0" y="0"/>
                      <a:ext cx="5314950" cy="7515225"/>
                    </a:xfrm>
                    <a:prstGeom prst="rect">
                      <a:avLst/>
                    </a:prstGeom>
                    <a:noFill/>
                    <a:ln>
                      <a:noFill/>
                    </a:ln>
                  </pic:spPr>
                </pic:pic>
              </a:graphicData>
            </a:graphic>
          </wp:inline>
        </w:drawing>
      </w:r>
    </w:p>
    <w:p>
      <w:pPr>
        <w:widowControl/>
        <w:jc w:val="both"/>
        <w:rPr>
          <w:szCs w:val="32"/>
        </w:rPr>
      </w:pPr>
    </w:p>
    <w:tbl>
      <w:tblPr>
        <w:tblStyle w:val="8"/>
        <w:tblW w:w="8931" w:type="dxa"/>
        <w:tblInd w:w="108" w:type="dxa"/>
        <w:tblLayout w:type="autofit"/>
        <w:tblCellMar>
          <w:top w:w="0" w:type="dxa"/>
          <w:left w:w="108" w:type="dxa"/>
          <w:bottom w:w="0" w:type="dxa"/>
          <w:right w:w="108" w:type="dxa"/>
        </w:tblCellMar>
      </w:tblPr>
      <w:tblGrid>
        <w:gridCol w:w="1722"/>
        <w:gridCol w:w="714"/>
        <w:gridCol w:w="6495"/>
      </w:tblGrid>
      <w:tr>
        <w:tblPrEx>
          <w:tblCellMar>
            <w:top w:w="0" w:type="dxa"/>
            <w:left w:w="108" w:type="dxa"/>
            <w:bottom w:w="0" w:type="dxa"/>
            <w:right w:w="108" w:type="dxa"/>
          </w:tblCellMar>
        </w:tblPrEx>
        <w:trPr>
          <w:trHeight w:val="630" w:hRule="atLeast"/>
        </w:trPr>
        <w:tc>
          <w:tcPr>
            <w:tcW w:w="8931" w:type="dxa"/>
            <w:gridSpan w:val="3"/>
            <w:tcBorders>
              <w:top w:val="nil"/>
              <w:left w:val="nil"/>
              <w:bottom w:val="nil"/>
              <w:right w:val="nil"/>
            </w:tcBorders>
            <w:shd w:val="clear" w:color="auto" w:fill="auto"/>
            <w:noWrap/>
            <w:vAlign w:val="center"/>
          </w:tcPr>
          <w:p>
            <w:pPr>
              <w:widowControl/>
              <w:jc w:val="left"/>
              <w:rPr>
                <w:rFonts w:ascii="仿宋" w:hAnsi="仿宋" w:eastAsia="仿宋" w:cs="宋体"/>
                <w:kern w:val="0"/>
                <w:szCs w:val="32"/>
              </w:rPr>
            </w:pPr>
            <w:r>
              <w:rPr>
                <w:rFonts w:hint="eastAsia"/>
                <w:szCs w:val="32"/>
              </w:rPr>
              <w:t>附件2</w:t>
            </w:r>
          </w:p>
        </w:tc>
      </w:tr>
      <w:tr>
        <w:trPr>
          <w:trHeight w:val="1302" w:hRule="atLeast"/>
        </w:trPr>
        <w:tc>
          <w:tcPr>
            <w:tcW w:w="8931" w:type="dxa"/>
            <w:gridSpan w:val="3"/>
            <w:tcBorders>
              <w:top w:val="nil"/>
              <w:left w:val="nil"/>
              <w:bottom w:val="single" w:color="auto" w:sz="4" w:space="0"/>
              <w:right w:val="nil"/>
            </w:tcBorders>
            <w:shd w:val="clear" w:color="auto" w:fill="auto"/>
            <w:noWrap/>
            <w:vAlign w:val="center"/>
          </w:tcPr>
          <w:p>
            <w:pPr>
              <w:widowControl/>
              <w:ind w:left="3243" w:hanging="3243" w:hangingChars="900"/>
              <w:rPr>
                <w:rFonts w:ascii="华文中宋" w:hAnsi="宋体" w:eastAsia="华文中宋" w:cs="宋体"/>
                <w:b/>
                <w:bCs/>
                <w:kern w:val="0"/>
                <w:sz w:val="36"/>
                <w:szCs w:val="36"/>
              </w:rPr>
            </w:pPr>
            <w:r>
              <w:rPr>
                <w:rFonts w:hint="eastAsia" w:ascii="华文中宋" w:hAnsi="宋体" w:eastAsia="华文中宋" w:cs="宋体"/>
                <w:b/>
                <w:bCs/>
                <w:kern w:val="0"/>
                <w:sz w:val="36"/>
                <w:szCs w:val="36"/>
              </w:rPr>
              <w:t>成都考点202</w:t>
            </w:r>
            <w:r>
              <w:rPr>
                <w:rFonts w:hint="eastAsia" w:ascii="华文中宋" w:hAnsi="宋体" w:eastAsia="华文中宋" w:cs="宋体"/>
                <w:b/>
                <w:bCs/>
                <w:kern w:val="0"/>
                <w:sz w:val="36"/>
                <w:szCs w:val="36"/>
                <w:lang w:val="en-US" w:eastAsia="zh-CN"/>
              </w:rPr>
              <w:t>5</w:t>
            </w:r>
            <w:r>
              <w:rPr>
                <w:rFonts w:hint="eastAsia" w:ascii="华文中宋" w:hAnsi="宋体" w:eastAsia="华文中宋" w:cs="宋体"/>
                <w:b/>
                <w:bCs/>
                <w:kern w:val="0"/>
                <w:sz w:val="36"/>
                <w:szCs w:val="36"/>
              </w:rPr>
              <w:t xml:space="preserve">年全国卫生专业技术资格考试报名复审 </w:t>
            </w:r>
            <w:r>
              <w:rPr>
                <w:rFonts w:ascii="华文中宋" w:hAnsi="宋体" w:eastAsia="华文中宋" w:cs="宋体"/>
                <w:b/>
                <w:bCs/>
                <w:kern w:val="0"/>
                <w:sz w:val="36"/>
                <w:szCs w:val="36"/>
              </w:rPr>
              <w:t xml:space="preserve">   </w:t>
            </w:r>
            <w:r>
              <w:rPr>
                <w:rFonts w:hint="eastAsia" w:ascii="华文中宋" w:hAnsi="宋体" w:eastAsia="华文中宋" w:cs="宋体"/>
                <w:b/>
                <w:bCs/>
                <w:kern w:val="0"/>
                <w:sz w:val="36"/>
                <w:szCs w:val="36"/>
              </w:rPr>
              <w:t>时间安排表</w:t>
            </w:r>
          </w:p>
        </w:tc>
      </w:tr>
      <w:tr>
        <w:trPr>
          <w:trHeight w:val="960" w:hRule="atLeast"/>
        </w:trPr>
        <w:tc>
          <w:tcPr>
            <w:tcW w:w="243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报送时间</w:t>
            </w:r>
          </w:p>
        </w:tc>
        <w:tc>
          <w:tcPr>
            <w:tcW w:w="64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4"/>
              </w:rPr>
            </w:pPr>
            <w:r>
              <w:rPr>
                <w:rFonts w:hint="eastAsia" w:ascii="宋体" w:hAnsi="宋体" w:eastAsia="宋体" w:cs="宋体"/>
                <w:b/>
                <w:bCs/>
                <w:kern w:val="0"/>
                <w:sz w:val="24"/>
              </w:rPr>
              <w:t>报送成都考点办公室复审单位</w:t>
            </w:r>
          </w:p>
        </w:tc>
      </w:tr>
      <w:tr>
        <w:tblPrEx>
          <w:tblCellMar>
            <w:top w:w="0" w:type="dxa"/>
            <w:left w:w="108" w:type="dxa"/>
            <w:bottom w:w="0" w:type="dxa"/>
            <w:right w:w="108" w:type="dxa"/>
          </w:tblCellMar>
        </w:tblPrEx>
        <w:trPr>
          <w:trHeight w:val="702" w:hRule="atLeast"/>
        </w:trPr>
        <w:tc>
          <w:tcPr>
            <w:tcW w:w="172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ascii="华文楷体" w:hAnsi="宋体" w:eastAsia="华文楷体" w:cs="宋体"/>
                <w:kern w:val="0"/>
                <w:sz w:val="24"/>
              </w:rPr>
              <w:t>2</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中心人事代理的民营及工矿医院、市药监、中心人事代理的部队医院、成都大学附属医院</w:t>
            </w:r>
          </w:p>
        </w:tc>
      </w:tr>
      <w:tr>
        <w:trPr>
          <w:trHeight w:val="900" w:hRule="atLeast"/>
        </w:trPr>
        <w:tc>
          <w:tcPr>
            <w:tcW w:w="1722"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委直属单位</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ascii="华文楷体" w:hAnsi="宋体" w:eastAsia="华文楷体" w:cs="宋体"/>
                <w:kern w:val="0"/>
                <w:sz w:val="24"/>
              </w:rPr>
              <w:t>3</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武侯区 郫都区</w:t>
            </w:r>
            <w:r>
              <w:rPr>
                <w:rFonts w:ascii="华文楷体" w:hAnsi="宋体" w:eastAsia="华文楷体" w:cs="宋体"/>
                <w:kern w:val="0"/>
                <w:sz w:val="24"/>
              </w:rPr>
              <w:t xml:space="preserve"> </w:t>
            </w:r>
          </w:p>
        </w:tc>
      </w:tr>
      <w:tr>
        <w:tblPrEx>
          <w:tblCellMar>
            <w:top w:w="0" w:type="dxa"/>
            <w:left w:w="108" w:type="dxa"/>
            <w:bottom w:w="0" w:type="dxa"/>
            <w:right w:w="108" w:type="dxa"/>
          </w:tblCellMar>
        </w:tblPrEx>
        <w:trPr>
          <w:trHeight w:val="600" w:hRule="atLeast"/>
        </w:trPr>
        <w:tc>
          <w:tcPr>
            <w:tcW w:w="1722"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龙泉驿区 简阳市</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华文楷体" w:hAnsi="宋体" w:eastAsia="华文楷体" w:cs="宋体"/>
                <w:kern w:val="0"/>
                <w:sz w:val="24"/>
                <w:lang w:val="en-US" w:eastAsia="zh-CN"/>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hint="eastAsia" w:ascii="华文楷体" w:hAnsi="宋体" w:eastAsia="华文楷体" w:cs="宋体"/>
                <w:kern w:val="0"/>
                <w:sz w:val="24"/>
                <w:lang w:val="en-US" w:eastAsia="zh-CN"/>
              </w:rPr>
              <w:t>6</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成华区 温江区</w:t>
            </w:r>
          </w:p>
        </w:tc>
      </w:tr>
      <w:tr>
        <w:tblPrEx>
          <w:tblCellMar>
            <w:top w:w="0" w:type="dxa"/>
            <w:left w:w="108" w:type="dxa"/>
            <w:bottom w:w="0" w:type="dxa"/>
            <w:right w:w="108" w:type="dxa"/>
          </w:tblCellMar>
        </w:tblPrEx>
        <w:trPr>
          <w:trHeight w:val="600" w:hRule="atLeast"/>
        </w:trPr>
        <w:tc>
          <w:tcPr>
            <w:tcW w:w="1722"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 xml:space="preserve">青羊区 邛崃市 </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华文楷体" w:hAnsi="宋体" w:eastAsia="华文楷体" w:cs="宋体"/>
                <w:kern w:val="0"/>
                <w:sz w:val="24"/>
                <w:lang w:val="en-US" w:eastAsia="zh-CN"/>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hint="eastAsia" w:ascii="华文楷体" w:hAnsi="宋体" w:eastAsia="华文楷体" w:cs="宋体"/>
                <w:kern w:val="0"/>
                <w:sz w:val="24"/>
                <w:lang w:val="en-US" w:eastAsia="zh-CN"/>
              </w:rPr>
              <w:t>7</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高新区 新都区</w:t>
            </w:r>
          </w:p>
        </w:tc>
      </w:tr>
      <w:tr>
        <w:tblPrEx>
          <w:tblCellMar>
            <w:top w:w="0" w:type="dxa"/>
            <w:left w:w="108" w:type="dxa"/>
            <w:bottom w:w="0" w:type="dxa"/>
            <w:right w:w="108" w:type="dxa"/>
          </w:tblCellMar>
        </w:tblPrEx>
        <w:trPr>
          <w:trHeight w:val="600" w:hRule="atLeast"/>
        </w:trPr>
        <w:tc>
          <w:tcPr>
            <w:tcW w:w="1722"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天府新区 青白江区</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ascii="华文楷体" w:hAnsi="宋体" w:eastAsia="华文楷体" w:cs="宋体"/>
                <w:kern w:val="0"/>
                <w:sz w:val="24"/>
              </w:rPr>
              <w:t>8</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金牛区 新津区</w:t>
            </w:r>
          </w:p>
        </w:tc>
      </w:tr>
      <w:tr>
        <w:tblPrEx>
          <w:tblCellMar>
            <w:top w:w="0" w:type="dxa"/>
            <w:left w:w="108" w:type="dxa"/>
            <w:bottom w:w="0" w:type="dxa"/>
            <w:right w:w="108" w:type="dxa"/>
          </w:tblCellMar>
        </w:tblPrEx>
        <w:trPr>
          <w:trHeight w:val="600" w:hRule="atLeast"/>
        </w:trPr>
        <w:tc>
          <w:tcPr>
            <w:tcW w:w="172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崇州市 彭州市</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ascii="华文楷体" w:hAnsi="宋体" w:eastAsia="华文楷体" w:cs="宋体"/>
                <w:kern w:val="0"/>
                <w:sz w:val="24"/>
              </w:rPr>
              <w:t>9</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锦江区 双流区</w:t>
            </w:r>
          </w:p>
        </w:tc>
      </w:tr>
      <w:tr>
        <w:trPr>
          <w:trHeight w:val="600" w:hRule="atLeast"/>
        </w:trPr>
        <w:tc>
          <w:tcPr>
            <w:tcW w:w="172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都江堰市 大邑县</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ascii="华文楷体" w:hAnsi="宋体" w:eastAsia="华文楷体" w:cs="宋体"/>
                <w:kern w:val="0"/>
                <w:sz w:val="24"/>
              </w:rPr>
              <w:t>10</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东部新区 金堂县</w:t>
            </w:r>
          </w:p>
        </w:tc>
      </w:tr>
      <w:tr>
        <w:tblPrEx>
          <w:tblCellMar>
            <w:top w:w="0" w:type="dxa"/>
            <w:left w:w="108" w:type="dxa"/>
            <w:bottom w:w="0" w:type="dxa"/>
            <w:right w:w="108" w:type="dxa"/>
          </w:tblCellMar>
        </w:tblPrEx>
        <w:trPr>
          <w:trHeight w:val="600" w:hRule="atLeast"/>
        </w:trPr>
        <w:tc>
          <w:tcPr>
            <w:tcW w:w="1722"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蒲江县</w:t>
            </w:r>
          </w:p>
        </w:tc>
      </w:tr>
      <w:tr>
        <w:tblPrEx>
          <w:tblCellMar>
            <w:top w:w="0" w:type="dxa"/>
            <w:left w:w="108" w:type="dxa"/>
            <w:bottom w:w="0" w:type="dxa"/>
            <w:right w:w="108" w:type="dxa"/>
          </w:tblCellMar>
        </w:tblPrEx>
        <w:trPr>
          <w:trHeight w:val="600" w:hRule="atLeast"/>
        </w:trPr>
        <w:tc>
          <w:tcPr>
            <w:tcW w:w="1722"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华文楷体" w:hAnsi="宋体" w:eastAsia="华文楷体" w:cs="宋体"/>
                <w:kern w:val="0"/>
                <w:sz w:val="24"/>
                <w:lang w:val="en-US" w:eastAsia="zh-CN"/>
              </w:rPr>
            </w:pPr>
            <w:r>
              <w:rPr>
                <w:rFonts w:hint="eastAsia" w:ascii="华文楷体" w:hAnsi="宋体" w:eastAsia="华文楷体" w:cs="宋体"/>
                <w:kern w:val="0"/>
                <w:sz w:val="24"/>
              </w:rPr>
              <w:t>202</w:t>
            </w:r>
            <w:r>
              <w:rPr>
                <w:rFonts w:hint="eastAsia" w:ascii="华文楷体" w:hAnsi="宋体" w:eastAsia="华文楷体" w:cs="宋体"/>
                <w:kern w:val="0"/>
                <w:sz w:val="24"/>
                <w:lang w:val="en-US" w:eastAsia="zh-CN"/>
              </w:rPr>
              <w:t>5</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rPr>
              <w:t>/</w:t>
            </w:r>
            <w:r>
              <w:rPr>
                <w:rFonts w:ascii="华文楷体" w:hAnsi="宋体" w:eastAsia="华文楷体" w:cs="宋体"/>
                <w:kern w:val="0"/>
                <w:sz w:val="24"/>
              </w:rPr>
              <w:t>1</w:t>
            </w:r>
            <w:r>
              <w:rPr>
                <w:rFonts w:hint="eastAsia" w:ascii="华文楷体" w:hAnsi="宋体" w:eastAsia="华文楷体" w:cs="宋体"/>
                <w:kern w:val="0"/>
                <w:sz w:val="24"/>
                <w:lang w:val="en-US" w:eastAsia="zh-CN"/>
              </w:rPr>
              <w:t>3</w:t>
            </w: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上午</w:t>
            </w:r>
          </w:p>
        </w:tc>
        <w:tc>
          <w:tcPr>
            <w:tcW w:w="6495" w:type="dxa"/>
            <w:vMerge w:val="restart"/>
            <w:tcBorders>
              <w:top w:val="single" w:color="auto" w:sz="4" w:space="0"/>
              <w:left w:val="nil"/>
              <w:right w:val="single" w:color="000000" w:sz="4" w:space="0"/>
            </w:tcBorders>
            <w:shd w:val="clear" w:color="auto" w:fill="auto"/>
            <w:noWrap/>
            <w:vAlign w:val="center"/>
          </w:tcPr>
          <w:p>
            <w:pPr>
              <w:widowControl/>
              <w:jc w:val="left"/>
              <w:rPr>
                <w:rFonts w:ascii="华文楷体" w:hAnsi="宋体" w:eastAsia="华文楷体" w:cs="宋体"/>
                <w:kern w:val="0"/>
                <w:sz w:val="24"/>
              </w:rPr>
            </w:pPr>
            <w:r>
              <w:rPr>
                <w:rFonts w:hint="eastAsia" w:ascii="华文楷体" w:hAnsi="宋体" w:eastAsia="华文楷体" w:cs="宋体"/>
                <w:kern w:val="0"/>
                <w:sz w:val="24"/>
              </w:rPr>
              <w:t>数据整理、补漏</w:t>
            </w:r>
          </w:p>
        </w:tc>
      </w:tr>
      <w:tr>
        <w:tblPrEx>
          <w:tblCellMar>
            <w:top w:w="0" w:type="dxa"/>
            <w:left w:w="108" w:type="dxa"/>
            <w:bottom w:w="0" w:type="dxa"/>
            <w:right w:w="108" w:type="dxa"/>
          </w:tblCellMar>
        </w:tblPrEx>
        <w:trPr>
          <w:trHeight w:val="600" w:hRule="atLeast"/>
        </w:trPr>
        <w:tc>
          <w:tcPr>
            <w:tcW w:w="1722"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宋体" w:eastAsia="华文楷体" w:cs="宋体"/>
                <w:kern w:val="0"/>
                <w:sz w:val="24"/>
              </w:rPr>
            </w:pPr>
          </w:p>
        </w:tc>
        <w:tc>
          <w:tcPr>
            <w:tcW w:w="714" w:type="dxa"/>
            <w:tcBorders>
              <w:top w:val="nil"/>
              <w:left w:val="nil"/>
              <w:bottom w:val="single" w:color="auto" w:sz="4" w:space="0"/>
              <w:right w:val="single" w:color="auto" w:sz="4" w:space="0"/>
            </w:tcBorders>
            <w:shd w:val="clear" w:color="auto" w:fill="auto"/>
            <w:noWrap/>
            <w:vAlign w:val="center"/>
          </w:tcPr>
          <w:p>
            <w:pPr>
              <w:widowControl/>
              <w:jc w:val="center"/>
              <w:rPr>
                <w:rFonts w:ascii="华文楷体" w:hAnsi="宋体" w:eastAsia="华文楷体" w:cs="宋体"/>
                <w:kern w:val="0"/>
                <w:sz w:val="24"/>
              </w:rPr>
            </w:pPr>
            <w:r>
              <w:rPr>
                <w:rFonts w:hint="eastAsia" w:ascii="华文楷体" w:hAnsi="宋体" w:eastAsia="华文楷体" w:cs="宋体"/>
                <w:kern w:val="0"/>
                <w:sz w:val="24"/>
              </w:rPr>
              <w:t>下午</w:t>
            </w:r>
          </w:p>
        </w:tc>
        <w:tc>
          <w:tcPr>
            <w:tcW w:w="6495" w:type="dxa"/>
            <w:vMerge w:val="continue"/>
            <w:tcBorders>
              <w:left w:val="nil"/>
              <w:bottom w:val="single" w:color="auto" w:sz="4" w:space="0"/>
              <w:right w:val="single" w:color="000000" w:sz="4" w:space="0"/>
            </w:tcBorders>
            <w:shd w:val="clear" w:color="auto" w:fill="auto"/>
            <w:noWrap/>
            <w:vAlign w:val="center"/>
          </w:tcPr>
          <w:p>
            <w:pPr>
              <w:widowControl/>
              <w:jc w:val="left"/>
              <w:rPr>
                <w:rFonts w:ascii="华文楷体" w:hAnsi="宋体" w:eastAsia="华文楷体" w:cs="宋体"/>
                <w:kern w:val="0"/>
                <w:sz w:val="24"/>
              </w:rPr>
            </w:pPr>
          </w:p>
        </w:tc>
      </w:tr>
    </w:tbl>
    <w:p>
      <w:pPr>
        <w:widowControl/>
        <w:jc w:val="left"/>
        <w:rPr>
          <w:szCs w:val="32"/>
        </w:rPr>
        <w:sectPr>
          <w:footerReference r:id="rId3" w:type="default"/>
          <w:footerReference r:id="rId4" w:type="even"/>
          <w:pgSz w:w="11906" w:h="16838"/>
          <w:pgMar w:top="1702" w:right="1474" w:bottom="1985" w:left="1588" w:header="851" w:footer="1588" w:gutter="0"/>
          <w:cols w:space="425" w:num="1"/>
          <w:docGrid w:linePitch="579" w:charSpace="-849"/>
        </w:sectPr>
      </w:pPr>
    </w:p>
    <w:p>
      <w:pPr>
        <w:widowControl/>
        <w:jc w:val="left"/>
        <w:rPr>
          <w:szCs w:val="32"/>
        </w:rPr>
      </w:pPr>
    </w:p>
    <w:tbl>
      <w:tblPr>
        <w:tblStyle w:val="8"/>
        <w:tblW w:w="15646" w:type="dxa"/>
        <w:tblInd w:w="-1079" w:type="dxa"/>
        <w:tblLayout w:type="autofit"/>
        <w:tblCellMar>
          <w:top w:w="0" w:type="dxa"/>
          <w:left w:w="108" w:type="dxa"/>
          <w:bottom w:w="0" w:type="dxa"/>
          <w:right w:w="108" w:type="dxa"/>
        </w:tblCellMar>
      </w:tblPr>
      <w:tblGrid>
        <w:gridCol w:w="1080"/>
        <w:gridCol w:w="900"/>
        <w:gridCol w:w="1360"/>
        <w:gridCol w:w="1080"/>
        <w:gridCol w:w="2400"/>
        <w:gridCol w:w="1380"/>
        <w:gridCol w:w="1380"/>
        <w:gridCol w:w="1960"/>
        <w:gridCol w:w="1080"/>
        <w:gridCol w:w="1080"/>
        <w:gridCol w:w="1080"/>
        <w:gridCol w:w="866"/>
      </w:tblGrid>
      <w:tr>
        <w:tblPrEx>
          <w:tblCellMar>
            <w:top w:w="0" w:type="dxa"/>
            <w:left w:w="108" w:type="dxa"/>
            <w:bottom w:w="0" w:type="dxa"/>
            <w:right w:w="108" w:type="dxa"/>
          </w:tblCellMar>
        </w:tblPrEx>
        <w:trPr>
          <w:trHeight w:val="405" w:hRule="atLeast"/>
        </w:trPr>
        <w:tc>
          <w:tcPr>
            <w:tcW w:w="1080" w:type="dxa"/>
            <w:tcBorders>
              <w:top w:val="nil"/>
              <w:left w:val="nil"/>
              <w:bottom w:val="nil"/>
              <w:right w:val="nil"/>
            </w:tcBorders>
            <w:shd w:val="clear" w:color="auto" w:fill="auto"/>
            <w:noWrap/>
            <w:vAlign w:val="center"/>
          </w:tcPr>
          <w:p>
            <w:pPr>
              <w:widowControl/>
              <w:jc w:val="center"/>
              <w:rPr>
                <w:rFonts w:ascii="仿宋" w:hAnsi="仿宋" w:eastAsia="仿宋" w:cs="宋体"/>
                <w:kern w:val="0"/>
                <w:szCs w:val="32"/>
              </w:rPr>
            </w:pPr>
            <w:r>
              <w:rPr>
                <w:rFonts w:hint="eastAsia" w:ascii="仿宋" w:hAnsi="仿宋" w:eastAsia="仿宋" w:cs="宋体"/>
                <w:kern w:val="0"/>
                <w:szCs w:val="32"/>
              </w:rPr>
              <w:t>附件3</w:t>
            </w:r>
          </w:p>
        </w:tc>
        <w:tc>
          <w:tcPr>
            <w:tcW w:w="900" w:type="dxa"/>
            <w:tcBorders>
              <w:top w:val="nil"/>
              <w:left w:val="nil"/>
              <w:bottom w:val="nil"/>
              <w:right w:val="nil"/>
            </w:tcBorders>
            <w:shd w:val="clear" w:color="auto" w:fill="auto"/>
            <w:noWrap/>
            <w:vAlign w:val="center"/>
          </w:tcPr>
          <w:p>
            <w:pPr>
              <w:widowControl/>
              <w:jc w:val="left"/>
              <w:rPr>
                <w:szCs w:val="32"/>
              </w:rPr>
            </w:pPr>
          </w:p>
        </w:tc>
        <w:tc>
          <w:tcPr>
            <w:tcW w:w="1360" w:type="dxa"/>
            <w:tcBorders>
              <w:top w:val="nil"/>
              <w:left w:val="nil"/>
              <w:bottom w:val="nil"/>
              <w:right w:val="nil"/>
            </w:tcBorders>
            <w:shd w:val="clear" w:color="auto" w:fill="auto"/>
            <w:noWrap/>
            <w:vAlign w:val="bottom"/>
          </w:tcPr>
          <w:p>
            <w:pPr>
              <w:widowControl/>
              <w:jc w:val="center"/>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240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3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3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96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86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30" w:hRule="atLeast"/>
        </w:trPr>
        <w:tc>
          <w:tcPr>
            <w:tcW w:w="15646" w:type="dxa"/>
            <w:gridSpan w:val="12"/>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48"/>
                <w:szCs w:val="48"/>
              </w:rPr>
            </w:pPr>
            <w:r>
              <w:rPr>
                <w:rFonts w:hint="eastAsia" w:ascii="宋体" w:hAnsi="宋体" w:eastAsia="宋体" w:cs="宋体"/>
                <w:b/>
                <w:bCs/>
                <w:color w:val="000000"/>
                <w:kern w:val="0"/>
                <w:sz w:val="48"/>
                <w:szCs w:val="48"/>
              </w:rPr>
              <w:t>202</w:t>
            </w:r>
            <w:r>
              <w:rPr>
                <w:rFonts w:hint="eastAsia" w:ascii="宋体" w:hAnsi="宋体" w:eastAsia="宋体" w:cs="宋体"/>
                <w:b/>
                <w:bCs/>
                <w:color w:val="000000"/>
                <w:kern w:val="0"/>
                <w:sz w:val="48"/>
                <w:szCs w:val="48"/>
                <w:lang w:val="en-US" w:eastAsia="zh-CN"/>
              </w:rPr>
              <w:t>5</w:t>
            </w:r>
            <w:r>
              <w:rPr>
                <w:rFonts w:hint="eastAsia" w:ascii="宋体" w:hAnsi="宋体" w:eastAsia="宋体" w:cs="宋体"/>
                <w:b/>
                <w:bCs/>
                <w:color w:val="000000"/>
                <w:kern w:val="0"/>
                <w:sz w:val="48"/>
                <w:szCs w:val="48"/>
              </w:rPr>
              <w:t>年全国卫生专业技术资格考试报名花名册</w:t>
            </w:r>
          </w:p>
        </w:tc>
      </w:tr>
      <w:tr>
        <w:tblPrEx>
          <w:tblCellMar>
            <w:top w:w="0" w:type="dxa"/>
            <w:left w:w="108" w:type="dxa"/>
            <w:bottom w:w="0" w:type="dxa"/>
            <w:right w:w="108" w:type="dxa"/>
          </w:tblCellMar>
        </w:tblPrEx>
        <w:trPr>
          <w:trHeight w:val="555" w:hRule="atLeast"/>
        </w:trPr>
        <w:tc>
          <w:tcPr>
            <w:tcW w:w="15646" w:type="dxa"/>
            <w:gridSpan w:val="12"/>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xml:space="preserve">填报单位：                        </w:t>
            </w:r>
            <w:r>
              <w:rPr>
                <w:rFonts w:hint="eastAsia" w:ascii="宋体" w:hAnsi="宋体" w:eastAsia="宋体" w:cs="宋体"/>
                <w:color w:val="000000"/>
                <w:kern w:val="0"/>
                <w:sz w:val="20"/>
                <w:szCs w:val="20"/>
              </w:rPr>
              <w:t xml:space="preserve">  </w:t>
            </w:r>
            <w:r>
              <w:rPr>
                <w:rFonts w:hint="eastAsia" w:ascii="宋体" w:hAnsi="宋体" w:eastAsia="宋体" w:cs="宋体"/>
                <w:color w:val="000000"/>
                <w:kern w:val="0"/>
                <w:sz w:val="28"/>
                <w:szCs w:val="28"/>
              </w:rPr>
              <w:t>申报级别：           填报人：         联系电话：</w:t>
            </w:r>
          </w:p>
        </w:tc>
      </w:tr>
      <w:tr>
        <w:tblPrEx>
          <w:tblCellMar>
            <w:top w:w="0" w:type="dxa"/>
            <w:left w:w="108" w:type="dxa"/>
            <w:bottom w:w="0" w:type="dxa"/>
            <w:right w:w="108" w:type="dxa"/>
          </w:tblCellMar>
        </w:tblPrEx>
        <w:trPr>
          <w:trHeight w:val="1215" w:hRule="atLeast"/>
        </w:trPr>
        <w:tc>
          <w:tcPr>
            <w:tcW w:w="1080" w:type="dxa"/>
            <w:tcBorders>
              <w:top w:val="single" w:color="auto" w:sz="8" w:space="0"/>
              <w:left w:val="single" w:color="auto" w:sz="8" w:space="0"/>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姓名</w:t>
            </w:r>
          </w:p>
        </w:tc>
        <w:tc>
          <w:tcPr>
            <w:tcW w:w="90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性别</w:t>
            </w:r>
          </w:p>
        </w:tc>
        <w:tc>
          <w:tcPr>
            <w:tcW w:w="136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出生年月</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学历</w:t>
            </w:r>
          </w:p>
        </w:tc>
        <w:tc>
          <w:tcPr>
            <w:tcW w:w="240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毕业学校及时间</w:t>
            </w:r>
          </w:p>
        </w:tc>
        <w:tc>
          <w:tcPr>
            <w:tcW w:w="13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现技术职称及取得时间</w:t>
            </w:r>
          </w:p>
        </w:tc>
        <w:tc>
          <w:tcPr>
            <w:tcW w:w="13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聘任或从事专业工作年限</w:t>
            </w:r>
          </w:p>
        </w:tc>
        <w:tc>
          <w:tcPr>
            <w:tcW w:w="196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工作单位</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报考科目数</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报考  专业</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专业  代码</w:t>
            </w:r>
          </w:p>
        </w:tc>
        <w:tc>
          <w:tcPr>
            <w:tcW w:w="866" w:type="dxa"/>
            <w:tcBorders>
              <w:top w:val="single" w:color="auto" w:sz="8" w:space="0"/>
              <w:left w:val="nil"/>
              <w:bottom w:val="nil"/>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备注</w:t>
            </w:r>
          </w:p>
        </w:tc>
      </w:tr>
      <w:tr>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single" w:color="auto" w:sz="4" w:space="0"/>
              <w:left w:val="nil"/>
              <w:bottom w:val="single" w:color="auto" w:sz="4" w:space="0"/>
              <w:right w:val="single" w:color="auto" w:sz="8"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866"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bl>
    <w:p>
      <w:pPr>
        <w:widowControl/>
        <w:jc w:val="left"/>
        <w:rPr>
          <w:szCs w:val="32"/>
        </w:rPr>
      </w:pPr>
    </w:p>
    <w:p>
      <w:pPr>
        <w:widowControl/>
        <w:jc w:val="left"/>
        <w:rPr>
          <w:szCs w:val="32"/>
        </w:rPr>
      </w:pPr>
    </w:p>
    <w:tbl>
      <w:tblPr>
        <w:tblStyle w:val="8"/>
        <w:tblW w:w="15570" w:type="dxa"/>
        <w:tblInd w:w="-1003" w:type="dxa"/>
        <w:tblLayout w:type="autofit"/>
        <w:tblCellMar>
          <w:top w:w="0" w:type="dxa"/>
          <w:left w:w="108" w:type="dxa"/>
          <w:bottom w:w="0" w:type="dxa"/>
          <w:right w:w="108" w:type="dxa"/>
        </w:tblCellMar>
      </w:tblPr>
      <w:tblGrid>
        <w:gridCol w:w="1080"/>
        <w:gridCol w:w="900"/>
        <w:gridCol w:w="1360"/>
        <w:gridCol w:w="1080"/>
        <w:gridCol w:w="2400"/>
        <w:gridCol w:w="1380"/>
        <w:gridCol w:w="1380"/>
        <w:gridCol w:w="1960"/>
        <w:gridCol w:w="1080"/>
        <w:gridCol w:w="1080"/>
        <w:gridCol w:w="1080"/>
        <w:gridCol w:w="790"/>
      </w:tblGrid>
      <w:tr>
        <w:tblPrEx>
          <w:tblCellMar>
            <w:top w:w="0" w:type="dxa"/>
            <w:left w:w="108" w:type="dxa"/>
            <w:bottom w:w="0" w:type="dxa"/>
            <w:right w:w="108" w:type="dxa"/>
          </w:tblCellMar>
        </w:tblPrEx>
        <w:trPr>
          <w:trHeight w:val="495" w:hRule="atLeast"/>
        </w:trPr>
        <w:tc>
          <w:tcPr>
            <w:tcW w:w="1080" w:type="dxa"/>
            <w:tcBorders>
              <w:top w:val="nil"/>
              <w:left w:val="nil"/>
              <w:bottom w:val="nil"/>
              <w:right w:val="nil"/>
            </w:tcBorders>
            <w:shd w:val="clear" w:color="auto" w:fill="auto"/>
            <w:noWrap/>
            <w:vAlign w:val="center"/>
          </w:tcPr>
          <w:p>
            <w:pPr>
              <w:widowControl/>
              <w:jc w:val="center"/>
              <w:rPr>
                <w:rFonts w:ascii="仿宋" w:hAnsi="仿宋" w:eastAsia="仿宋" w:cs="宋体"/>
                <w:kern w:val="0"/>
                <w:szCs w:val="32"/>
              </w:rPr>
            </w:pPr>
            <w:r>
              <w:rPr>
                <w:rFonts w:hint="eastAsia" w:ascii="仿宋" w:hAnsi="仿宋" w:eastAsia="仿宋" w:cs="宋体"/>
                <w:kern w:val="0"/>
                <w:szCs w:val="32"/>
              </w:rPr>
              <w:t>附件4</w:t>
            </w:r>
          </w:p>
        </w:tc>
        <w:tc>
          <w:tcPr>
            <w:tcW w:w="900" w:type="dxa"/>
            <w:tcBorders>
              <w:top w:val="nil"/>
              <w:left w:val="nil"/>
              <w:bottom w:val="nil"/>
              <w:right w:val="nil"/>
            </w:tcBorders>
            <w:shd w:val="clear" w:color="auto" w:fill="auto"/>
            <w:noWrap/>
            <w:vAlign w:val="bottom"/>
          </w:tcPr>
          <w:p>
            <w:pPr>
              <w:widowControl/>
              <w:jc w:val="center"/>
              <w:rPr>
                <w:rFonts w:ascii="仿宋" w:hAnsi="仿宋" w:eastAsia="仿宋" w:cs="宋体"/>
                <w:kern w:val="0"/>
                <w:szCs w:val="32"/>
              </w:rPr>
            </w:pPr>
          </w:p>
        </w:tc>
        <w:tc>
          <w:tcPr>
            <w:tcW w:w="136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240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3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3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96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8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790"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30" w:hRule="atLeast"/>
        </w:trPr>
        <w:tc>
          <w:tcPr>
            <w:tcW w:w="15570" w:type="dxa"/>
            <w:gridSpan w:val="12"/>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 w:val="48"/>
                <w:szCs w:val="48"/>
              </w:rPr>
            </w:pPr>
            <w:r>
              <w:rPr>
                <w:rFonts w:hint="eastAsia" w:ascii="宋体" w:hAnsi="宋体" w:eastAsia="宋体" w:cs="宋体"/>
                <w:b/>
                <w:bCs/>
                <w:color w:val="000000"/>
                <w:kern w:val="0"/>
                <w:sz w:val="48"/>
                <w:szCs w:val="48"/>
              </w:rPr>
              <w:t>202</w:t>
            </w:r>
            <w:r>
              <w:rPr>
                <w:rFonts w:hint="eastAsia" w:ascii="宋体" w:hAnsi="宋体" w:eastAsia="宋体" w:cs="宋体"/>
                <w:b/>
                <w:bCs/>
                <w:color w:val="000000"/>
                <w:kern w:val="0"/>
                <w:sz w:val="48"/>
                <w:szCs w:val="48"/>
                <w:lang w:val="en-US" w:eastAsia="zh-CN"/>
              </w:rPr>
              <w:t>5</w:t>
            </w:r>
            <w:r>
              <w:rPr>
                <w:rFonts w:hint="eastAsia" w:ascii="宋体" w:hAnsi="宋体" w:eastAsia="宋体" w:cs="宋体"/>
                <w:b/>
                <w:bCs/>
                <w:color w:val="000000"/>
                <w:kern w:val="0"/>
                <w:sz w:val="48"/>
                <w:szCs w:val="48"/>
              </w:rPr>
              <w:t>年全国卫生专业技术资格考试（基层卫生）报名花名册</w:t>
            </w:r>
          </w:p>
        </w:tc>
      </w:tr>
      <w:tr>
        <w:tblPrEx>
          <w:tblCellMar>
            <w:top w:w="0" w:type="dxa"/>
            <w:left w:w="108" w:type="dxa"/>
            <w:bottom w:w="0" w:type="dxa"/>
            <w:right w:w="108" w:type="dxa"/>
          </w:tblCellMar>
        </w:tblPrEx>
        <w:trPr>
          <w:trHeight w:val="555" w:hRule="atLeast"/>
        </w:trPr>
        <w:tc>
          <w:tcPr>
            <w:tcW w:w="15570" w:type="dxa"/>
            <w:gridSpan w:val="12"/>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xml:space="preserve">填报单位：                        </w:t>
            </w:r>
            <w:r>
              <w:rPr>
                <w:rFonts w:hint="eastAsia" w:ascii="宋体" w:hAnsi="宋体" w:eastAsia="宋体" w:cs="宋体"/>
                <w:color w:val="000000"/>
                <w:kern w:val="0"/>
                <w:sz w:val="20"/>
                <w:szCs w:val="20"/>
              </w:rPr>
              <w:t xml:space="preserve">          </w:t>
            </w:r>
            <w:r>
              <w:rPr>
                <w:rFonts w:hint="eastAsia" w:ascii="宋体" w:hAnsi="宋体" w:eastAsia="宋体" w:cs="宋体"/>
                <w:color w:val="000000"/>
                <w:kern w:val="0"/>
                <w:sz w:val="28"/>
                <w:szCs w:val="28"/>
              </w:rPr>
              <w:t>填报人：                                   联系电话：</w:t>
            </w:r>
          </w:p>
        </w:tc>
      </w:tr>
      <w:tr>
        <w:trPr>
          <w:trHeight w:val="1215" w:hRule="atLeast"/>
        </w:trPr>
        <w:tc>
          <w:tcPr>
            <w:tcW w:w="1080" w:type="dxa"/>
            <w:tcBorders>
              <w:top w:val="single" w:color="auto" w:sz="8" w:space="0"/>
              <w:left w:val="single" w:color="auto" w:sz="8" w:space="0"/>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姓名</w:t>
            </w:r>
          </w:p>
        </w:tc>
        <w:tc>
          <w:tcPr>
            <w:tcW w:w="90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性别</w:t>
            </w:r>
          </w:p>
        </w:tc>
        <w:tc>
          <w:tcPr>
            <w:tcW w:w="136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出生年月</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学历</w:t>
            </w:r>
          </w:p>
        </w:tc>
        <w:tc>
          <w:tcPr>
            <w:tcW w:w="240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毕业学校及时间</w:t>
            </w:r>
          </w:p>
        </w:tc>
        <w:tc>
          <w:tcPr>
            <w:tcW w:w="13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现技术职称及取得时间</w:t>
            </w:r>
          </w:p>
        </w:tc>
        <w:tc>
          <w:tcPr>
            <w:tcW w:w="13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聘任或从事专业工作年限</w:t>
            </w:r>
          </w:p>
        </w:tc>
        <w:tc>
          <w:tcPr>
            <w:tcW w:w="196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工作单位</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报考科目数</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报考  专业</w:t>
            </w:r>
          </w:p>
        </w:tc>
        <w:tc>
          <w:tcPr>
            <w:tcW w:w="1080" w:type="dxa"/>
            <w:tcBorders>
              <w:top w:val="single" w:color="auto" w:sz="8" w:space="0"/>
              <w:left w:val="nil"/>
              <w:bottom w:val="nil"/>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专业  代码</w:t>
            </w:r>
          </w:p>
        </w:tc>
        <w:tc>
          <w:tcPr>
            <w:tcW w:w="790" w:type="dxa"/>
            <w:tcBorders>
              <w:top w:val="single" w:color="auto" w:sz="8" w:space="0"/>
              <w:left w:val="nil"/>
              <w:bottom w:val="nil"/>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备注</w:t>
            </w:r>
          </w:p>
        </w:tc>
      </w:tr>
      <w:tr>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single" w:color="auto" w:sz="4" w:space="0"/>
              <w:left w:val="nil"/>
              <w:bottom w:val="single" w:color="auto" w:sz="4" w:space="0"/>
              <w:right w:val="single" w:color="auto" w:sz="8" w:space="0"/>
            </w:tcBorders>
            <w:shd w:val="clear" w:color="auto" w:fill="auto"/>
            <w:vAlign w:val="center"/>
          </w:tcPr>
          <w:p>
            <w:pPr>
              <w:widowControl/>
              <w:jc w:val="left"/>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r>
        <w:tblPrEx>
          <w:tblCellMar>
            <w:top w:w="0" w:type="dxa"/>
            <w:left w:w="108" w:type="dxa"/>
            <w:bottom w:w="0" w:type="dxa"/>
            <w:right w:w="108" w:type="dxa"/>
          </w:tblCellMar>
        </w:tblPrEx>
        <w:trPr>
          <w:trHeight w:val="600" w:hRule="atLeast"/>
        </w:trPr>
        <w:tc>
          <w:tcPr>
            <w:tcW w:w="108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24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3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9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4"/>
              </w:rPr>
            </w:pPr>
            <w:r>
              <w:rPr>
                <w:rFonts w:hint="eastAsia" w:ascii="仿宋_GB2312" w:hAnsi="宋体" w:cs="宋体"/>
                <w:kern w:val="0"/>
                <w:sz w:val="24"/>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c>
          <w:tcPr>
            <w:tcW w:w="790" w:type="dxa"/>
            <w:tcBorders>
              <w:top w:val="nil"/>
              <w:left w:val="nil"/>
              <w:bottom w:val="single" w:color="auto" w:sz="4" w:space="0"/>
              <w:right w:val="single" w:color="auto" w:sz="8" w:space="0"/>
            </w:tcBorders>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　</w:t>
            </w:r>
          </w:p>
        </w:tc>
      </w:tr>
    </w:tbl>
    <w:p>
      <w:pPr>
        <w:widowControl/>
        <w:rPr>
          <w:rFonts w:ascii="仿宋_GB2312" w:hAnsi="宋体" w:cs="宋体"/>
          <w:kern w:val="0"/>
          <w:sz w:val="28"/>
          <w:szCs w:val="28"/>
        </w:rPr>
        <w:sectPr>
          <w:pgSz w:w="16838" w:h="11906" w:orient="landscape"/>
          <w:pgMar w:top="1588" w:right="2098" w:bottom="1474" w:left="1985" w:header="851" w:footer="1588" w:gutter="0"/>
          <w:cols w:space="425" w:num="1"/>
          <w:docGrid w:linePitch="579" w:charSpace="-849"/>
        </w:sectPr>
      </w:pPr>
    </w:p>
    <w:p>
      <w:pPr>
        <w:widowControl/>
        <w:rPr>
          <w:rFonts w:ascii="仿宋" w:hAnsi="仿宋" w:eastAsia="仿宋" w:cs="宋体"/>
          <w:kern w:val="0"/>
          <w:szCs w:val="32"/>
        </w:rPr>
      </w:pPr>
      <w:r>
        <w:rPr>
          <w:rFonts w:hint="eastAsia" w:ascii="仿宋" w:hAnsi="仿宋" w:eastAsia="仿宋" w:cs="宋体"/>
          <w:kern w:val="0"/>
          <w:szCs w:val="32"/>
        </w:rPr>
        <w:t>附件5</w:t>
      </w:r>
    </w:p>
    <w:p>
      <w:pPr>
        <w:spacing w:line="660" w:lineRule="exact"/>
        <w:jc w:val="center"/>
        <w:rPr>
          <w:rFonts w:ascii="小标宋" w:hAnsi="小标宋" w:eastAsia="小标宋" w:cs="小标宋"/>
          <w:sz w:val="44"/>
          <w:szCs w:val="44"/>
        </w:rPr>
      </w:pPr>
    </w:p>
    <w:p>
      <w:pPr>
        <w:spacing w:line="660" w:lineRule="exact"/>
        <w:jc w:val="center"/>
        <w:rPr>
          <w:rFonts w:ascii="小标宋" w:hAnsi="小标宋" w:eastAsia="小标宋" w:cs="小标宋"/>
          <w:sz w:val="44"/>
          <w:szCs w:val="44"/>
        </w:rPr>
      </w:pPr>
      <w:r>
        <w:rPr>
          <w:rFonts w:hint="eastAsia" w:ascii="小标宋" w:hAnsi="小标宋" w:eastAsia="小标宋" w:cs="小标宋"/>
          <w:sz w:val="44"/>
          <w:szCs w:val="44"/>
        </w:rPr>
        <w:t>新冠肺炎疫情防控一线医务人员工作证明</w:t>
      </w:r>
    </w:p>
    <w:p>
      <w:pPr>
        <w:spacing w:line="660" w:lineRule="exact"/>
        <w:jc w:val="center"/>
        <w:rPr>
          <w:rFonts w:ascii="楷体_GB2312" w:hAnsi="楷体_GB2312" w:eastAsia="楷体_GB2312" w:cs="楷体_GB2312"/>
          <w:b/>
          <w:bCs/>
          <w:sz w:val="44"/>
          <w:szCs w:val="44"/>
        </w:rPr>
      </w:pPr>
    </w:p>
    <w:p>
      <w:pPr>
        <w:spacing w:line="580" w:lineRule="exact"/>
        <w:ind w:firstLine="640" w:firstLineChars="200"/>
        <w:jc w:val="left"/>
        <w:rPr>
          <w:rFonts w:ascii="仿宋_GB2312" w:hAnsi="仿宋_GB2312" w:cs="仿宋_GB2312"/>
          <w:szCs w:val="32"/>
        </w:rPr>
      </w:pPr>
      <w:r>
        <w:rPr>
          <w:rFonts w:hint="eastAsia" w:ascii="仿宋_GB2312" w:hAnsi="仿宋_GB2312" w:cs="仿宋_GB2312"/>
          <w:szCs w:val="32"/>
        </w:rPr>
        <w:t>兹有</w:t>
      </w:r>
      <w:r>
        <w:rPr>
          <w:rFonts w:hint="eastAsia" w:ascii="仿宋_GB2312" w:hAnsi="仿宋_GB2312" w:cs="仿宋_GB2312"/>
          <w:szCs w:val="32"/>
          <w:u w:val="single"/>
        </w:rPr>
        <w:t xml:space="preserve">      （本人工作单位）      </w:t>
      </w:r>
      <w:r>
        <w:rPr>
          <w:rFonts w:hint="eastAsia" w:ascii="仿宋_GB2312" w:hAnsi="仿宋_GB2312" w:cs="仿宋_GB2312"/>
          <w:szCs w:val="32"/>
        </w:rPr>
        <w:t>卫生专业技术人员</w:t>
      </w:r>
      <w:r>
        <w:rPr>
          <w:rFonts w:hint="eastAsia" w:ascii="仿宋_GB2312" w:hAnsi="仿宋_GB2312" w:cs="仿宋_GB2312"/>
          <w:szCs w:val="32"/>
          <w:u w:val="single"/>
        </w:rPr>
        <w:t xml:space="preserve">（姓名） </w:t>
      </w:r>
      <w:r>
        <w:rPr>
          <w:rFonts w:hint="eastAsia" w:ascii="仿宋_GB2312" w:hAnsi="仿宋_GB2312" w:cs="仿宋_GB2312"/>
          <w:szCs w:val="32"/>
        </w:rPr>
        <w:t>，身份证号：</w:t>
      </w:r>
      <w:r>
        <w:rPr>
          <w:rFonts w:hint="eastAsia" w:ascii="仿宋_GB2312" w:hAnsi="仿宋_GB2312" w:cs="仿宋_GB2312"/>
          <w:szCs w:val="32"/>
          <w:u w:val="single"/>
        </w:rPr>
        <w:t xml:space="preserve">                      </w:t>
      </w:r>
      <w:r>
        <w:rPr>
          <w:rFonts w:hint="eastAsia" w:ascii="仿宋_GB2312" w:hAnsi="仿宋_GB2312" w:cs="仿宋_GB2312"/>
          <w:szCs w:val="32"/>
        </w:rPr>
        <w:t>，于    年</w:t>
      </w:r>
    </w:p>
    <w:p>
      <w:pPr>
        <w:spacing w:line="580" w:lineRule="exact"/>
        <w:rPr>
          <w:rFonts w:ascii="仿宋_GB2312" w:hAnsi="仿宋_GB2312" w:cs="仿宋_GB2312"/>
          <w:szCs w:val="32"/>
        </w:rPr>
      </w:pPr>
      <w:r>
        <w:rPr>
          <w:rFonts w:hint="eastAsia" w:ascii="仿宋_GB2312" w:hAnsi="仿宋_GB2312" w:cs="仿宋_GB2312"/>
          <w:szCs w:val="32"/>
        </w:rPr>
        <w:t xml:space="preserve">   月    日—    年   月    日在</w:t>
      </w:r>
      <w:r>
        <w:rPr>
          <w:rFonts w:hint="eastAsia" w:ascii="仿宋_GB2312" w:hAnsi="仿宋_GB2312" w:cs="仿宋_GB2312"/>
          <w:szCs w:val="32"/>
          <w:u w:val="single"/>
        </w:rPr>
        <w:t xml:space="preserve">  （一线工作单位）   </w:t>
      </w:r>
      <w:r>
        <w:rPr>
          <w:rFonts w:hint="eastAsia" w:ascii="仿宋_GB2312" w:hAnsi="仿宋_GB2312" w:cs="仿宋_GB2312"/>
          <w:szCs w:val="32"/>
        </w:rPr>
        <w:t>直接参与新冠肺炎防控救治一线工作，且从事与新冠肺炎</w:t>
      </w:r>
      <w:r>
        <w:rPr>
          <w:rFonts w:hint="eastAsia" w:ascii="仿宋_GB2312" w:hAnsi="仿宋_GB2312" w:cs="仿宋_GB2312"/>
          <w:szCs w:val="32"/>
          <w:u w:val="single"/>
        </w:rPr>
        <w:t>确诊病例/疑似病例</w:t>
      </w:r>
      <w:r>
        <w:rPr>
          <w:rFonts w:hint="eastAsia" w:ascii="仿宋_GB2312" w:hAnsi="仿宋_GB2312" w:cs="仿宋_GB2312"/>
          <w:szCs w:val="32"/>
        </w:rPr>
        <w:t>直接接触的</w:t>
      </w:r>
      <w:r>
        <w:rPr>
          <w:rFonts w:hint="eastAsia" w:ascii="仿宋_GB2312" w:hAnsi="仿宋_GB2312" w:cs="仿宋_GB2312"/>
          <w:szCs w:val="32"/>
          <w:u w:val="single"/>
        </w:rPr>
        <w:t xml:space="preserve">            </w:t>
      </w:r>
      <w:r>
        <w:rPr>
          <w:rFonts w:hint="eastAsia" w:ascii="仿宋_GB2312" w:hAnsi="仿宋_GB2312" w:cs="仿宋_GB2312"/>
          <w:szCs w:val="32"/>
        </w:rPr>
        <w:t>工作。符合《国务院应对新型冠状病毒感染肺炎疫情联防联控机制关于聚焦一线贯彻落实保护关心爱护医务人员措施的通知》（国发明电〔2020〕10号）关于新冠肺炎疫情防控一线医务人员范围的规定。</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特此证明。</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负 责 人：</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联系电话：</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 xml:space="preserve">                       （证明单位落款及签章）</w:t>
      </w:r>
    </w:p>
    <w:p>
      <w:pPr>
        <w:spacing w:line="580" w:lineRule="exact"/>
        <w:ind w:firstLine="640" w:firstLineChars="200"/>
      </w:pPr>
      <w:r>
        <w:rPr>
          <w:rFonts w:hint="eastAsia" w:ascii="仿宋_GB2312" w:hAnsi="仿宋_GB2312" w:cs="仿宋_GB2312"/>
          <w:szCs w:val="32"/>
        </w:rPr>
        <w:t xml:space="preserve">                           年   月    日</w:t>
      </w:r>
    </w:p>
    <w:p/>
    <w:p>
      <w:pPr>
        <w:widowControl/>
        <w:jc w:val="left"/>
        <w:rPr>
          <w:szCs w:val="32"/>
        </w:rPr>
      </w:pPr>
    </w:p>
    <w:sectPr>
      <w:pgSz w:w="11906" w:h="16838"/>
      <w:pgMar w:top="2098" w:right="1474" w:bottom="1985" w:left="1588" w:header="851" w:footer="1588" w:gutter="0"/>
      <w:cols w:space="425"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小标宋">
    <w:altName w:val="Arial Unicode MS"/>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320" w:leftChars="100" w:right="320" w:rightChars="100"/>
      <w:rPr>
        <w:rStyle w:val="10"/>
        <w:rFonts w:ascii="宋体" w:hAnsi="宋体" w:eastAsia="宋体"/>
        <w:sz w:val="28"/>
        <w:szCs w:val="28"/>
      </w:rPr>
    </w:pPr>
    <w:r>
      <w:rPr>
        <w:rStyle w:val="10"/>
        <w:rFonts w:ascii="宋体" w:hAnsi="宋体" w:eastAsia="宋体"/>
        <w:sz w:val="28"/>
        <w:szCs w:val="28"/>
      </w:rPr>
      <w:t xml:space="preserve">— </w:t>
    </w:r>
    <w:r>
      <w:rPr>
        <w:rStyle w:val="10"/>
        <w:rFonts w:ascii="宋体" w:hAnsi="宋体" w:eastAsia="宋体"/>
        <w:sz w:val="28"/>
        <w:szCs w:val="28"/>
      </w:rPr>
      <w:fldChar w:fldCharType="begin"/>
    </w:r>
    <w:r>
      <w:rPr>
        <w:rStyle w:val="10"/>
        <w:rFonts w:ascii="宋体" w:hAnsi="宋体" w:eastAsia="宋体"/>
        <w:sz w:val="28"/>
        <w:szCs w:val="28"/>
      </w:rPr>
      <w:instrText xml:space="preserve">PAGE  </w:instrText>
    </w:r>
    <w:r>
      <w:rPr>
        <w:rStyle w:val="10"/>
        <w:rFonts w:ascii="宋体" w:hAnsi="宋体" w:eastAsia="宋体"/>
        <w:sz w:val="28"/>
        <w:szCs w:val="28"/>
      </w:rPr>
      <w:fldChar w:fldCharType="separate"/>
    </w:r>
    <w:r>
      <w:rPr>
        <w:rStyle w:val="10"/>
        <w:rFonts w:ascii="宋体" w:hAnsi="宋体" w:eastAsia="宋体"/>
        <w:sz w:val="28"/>
        <w:szCs w:val="28"/>
      </w:rPr>
      <w:t>33</w:t>
    </w:r>
    <w:r>
      <w:rPr>
        <w:rStyle w:val="10"/>
        <w:rFonts w:ascii="宋体" w:hAnsi="宋体" w:eastAsia="宋体"/>
        <w:sz w:val="28"/>
        <w:szCs w:val="28"/>
      </w:rPr>
      <w:fldChar w:fldCharType="end"/>
    </w:r>
    <w:r>
      <w:rPr>
        <w:rStyle w:val="10"/>
        <w:rFonts w:ascii="宋体" w:hAnsi="宋体" w:eastAsia="宋体"/>
        <w:sz w:val="28"/>
        <w:szCs w:val="28"/>
      </w:rPr>
      <w:t xml:space="preserve"> —</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fldChar w:fldCharType="begin"/>
    </w:r>
    <w:r>
      <w:rPr>
        <w:rStyle w:val="10"/>
      </w:rPr>
      <w:instrText xml:space="preserve">PAGE  </w:instrText>
    </w:r>
    <w:r>
      <w:fldChar w:fldCharType="separate"/>
    </w:r>
    <w:r>
      <w:rPr>
        <w:rStyle w:val="10"/>
      </w:rPr>
      <w:t>- 10 -</w:t>
    </w:r>
    <w: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B80CEF"/>
    <w:multiLevelType w:val="singleLevel"/>
    <w:tmpl w:val="47B80CE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D1D"/>
    <w:rsid w:val="00011892"/>
    <w:rsid w:val="00013876"/>
    <w:rsid w:val="00017D60"/>
    <w:rsid w:val="00024485"/>
    <w:rsid w:val="00031181"/>
    <w:rsid w:val="0003380E"/>
    <w:rsid w:val="00035866"/>
    <w:rsid w:val="00077116"/>
    <w:rsid w:val="00097ECB"/>
    <w:rsid w:val="000A30F0"/>
    <w:rsid w:val="000A7366"/>
    <w:rsid w:val="000C1ECE"/>
    <w:rsid w:val="000D3DD7"/>
    <w:rsid w:val="000D7885"/>
    <w:rsid w:val="000E65E6"/>
    <w:rsid w:val="000F66FC"/>
    <w:rsid w:val="00113D36"/>
    <w:rsid w:val="00121C00"/>
    <w:rsid w:val="00122FB2"/>
    <w:rsid w:val="00123A51"/>
    <w:rsid w:val="00135263"/>
    <w:rsid w:val="00135278"/>
    <w:rsid w:val="00137579"/>
    <w:rsid w:val="00137AA2"/>
    <w:rsid w:val="00140E71"/>
    <w:rsid w:val="001470A6"/>
    <w:rsid w:val="00163DE5"/>
    <w:rsid w:val="001649DF"/>
    <w:rsid w:val="0017127F"/>
    <w:rsid w:val="00181E94"/>
    <w:rsid w:val="001857E8"/>
    <w:rsid w:val="001A0A95"/>
    <w:rsid w:val="001C74CC"/>
    <w:rsid w:val="001D4B36"/>
    <w:rsid w:val="001E6D30"/>
    <w:rsid w:val="001F43F3"/>
    <w:rsid w:val="00201972"/>
    <w:rsid w:val="00204E9A"/>
    <w:rsid w:val="00214960"/>
    <w:rsid w:val="00221C12"/>
    <w:rsid w:val="002319CA"/>
    <w:rsid w:val="002371D7"/>
    <w:rsid w:val="00241D05"/>
    <w:rsid w:val="00254457"/>
    <w:rsid w:val="002623E0"/>
    <w:rsid w:val="0027593B"/>
    <w:rsid w:val="00285697"/>
    <w:rsid w:val="002958B8"/>
    <w:rsid w:val="002B16BC"/>
    <w:rsid w:val="002B642B"/>
    <w:rsid w:val="002B6ABA"/>
    <w:rsid w:val="002D38E2"/>
    <w:rsid w:val="002E3C94"/>
    <w:rsid w:val="003145F9"/>
    <w:rsid w:val="003161AE"/>
    <w:rsid w:val="00331A13"/>
    <w:rsid w:val="00334AF2"/>
    <w:rsid w:val="003403CD"/>
    <w:rsid w:val="00350542"/>
    <w:rsid w:val="003621DF"/>
    <w:rsid w:val="003839C3"/>
    <w:rsid w:val="003842D1"/>
    <w:rsid w:val="0038505C"/>
    <w:rsid w:val="00390828"/>
    <w:rsid w:val="00392C69"/>
    <w:rsid w:val="003A3BEC"/>
    <w:rsid w:val="003A6CE4"/>
    <w:rsid w:val="003B3FB2"/>
    <w:rsid w:val="003E28B5"/>
    <w:rsid w:val="003E49FE"/>
    <w:rsid w:val="003E7BA3"/>
    <w:rsid w:val="003F0284"/>
    <w:rsid w:val="003F3C51"/>
    <w:rsid w:val="003F62D1"/>
    <w:rsid w:val="00411737"/>
    <w:rsid w:val="00421792"/>
    <w:rsid w:val="0044072A"/>
    <w:rsid w:val="00450319"/>
    <w:rsid w:val="00453DCC"/>
    <w:rsid w:val="00467040"/>
    <w:rsid w:val="00477524"/>
    <w:rsid w:val="00485BE3"/>
    <w:rsid w:val="00492918"/>
    <w:rsid w:val="00492AE1"/>
    <w:rsid w:val="00493066"/>
    <w:rsid w:val="004A0235"/>
    <w:rsid w:val="004A2B3A"/>
    <w:rsid w:val="004D7F9C"/>
    <w:rsid w:val="004F2288"/>
    <w:rsid w:val="004F474D"/>
    <w:rsid w:val="00520AD9"/>
    <w:rsid w:val="0053536F"/>
    <w:rsid w:val="00537C04"/>
    <w:rsid w:val="00540104"/>
    <w:rsid w:val="00554FE5"/>
    <w:rsid w:val="005609E1"/>
    <w:rsid w:val="005610ED"/>
    <w:rsid w:val="00565015"/>
    <w:rsid w:val="005733CB"/>
    <w:rsid w:val="005827C7"/>
    <w:rsid w:val="005832BD"/>
    <w:rsid w:val="00584849"/>
    <w:rsid w:val="00593469"/>
    <w:rsid w:val="00596CDA"/>
    <w:rsid w:val="005B727B"/>
    <w:rsid w:val="005D30E3"/>
    <w:rsid w:val="00611DFD"/>
    <w:rsid w:val="00637F91"/>
    <w:rsid w:val="00646537"/>
    <w:rsid w:val="00655DE7"/>
    <w:rsid w:val="006579A0"/>
    <w:rsid w:val="006657CB"/>
    <w:rsid w:val="006767AE"/>
    <w:rsid w:val="006773B6"/>
    <w:rsid w:val="0068142F"/>
    <w:rsid w:val="006978AB"/>
    <w:rsid w:val="00697E87"/>
    <w:rsid w:val="006B50D0"/>
    <w:rsid w:val="006B66F4"/>
    <w:rsid w:val="006D13C4"/>
    <w:rsid w:val="006E1285"/>
    <w:rsid w:val="006E6B77"/>
    <w:rsid w:val="006F6426"/>
    <w:rsid w:val="007024B2"/>
    <w:rsid w:val="00707860"/>
    <w:rsid w:val="00715968"/>
    <w:rsid w:val="0072150F"/>
    <w:rsid w:val="007264E8"/>
    <w:rsid w:val="00726B53"/>
    <w:rsid w:val="00734F83"/>
    <w:rsid w:val="00746693"/>
    <w:rsid w:val="0076144F"/>
    <w:rsid w:val="00773F06"/>
    <w:rsid w:val="007766B9"/>
    <w:rsid w:val="00793815"/>
    <w:rsid w:val="007A11DC"/>
    <w:rsid w:val="007A1BE3"/>
    <w:rsid w:val="007A61F8"/>
    <w:rsid w:val="007B306D"/>
    <w:rsid w:val="007C79A3"/>
    <w:rsid w:val="007E07DC"/>
    <w:rsid w:val="007F4262"/>
    <w:rsid w:val="00812253"/>
    <w:rsid w:val="00815283"/>
    <w:rsid w:val="00836B03"/>
    <w:rsid w:val="008507D0"/>
    <w:rsid w:val="00855074"/>
    <w:rsid w:val="0086517B"/>
    <w:rsid w:val="00865D41"/>
    <w:rsid w:val="00866E7D"/>
    <w:rsid w:val="008764FA"/>
    <w:rsid w:val="00876D3A"/>
    <w:rsid w:val="008B7DD2"/>
    <w:rsid w:val="008D4F4C"/>
    <w:rsid w:val="008F399D"/>
    <w:rsid w:val="00905A24"/>
    <w:rsid w:val="009350E0"/>
    <w:rsid w:val="00942509"/>
    <w:rsid w:val="009867FA"/>
    <w:rsid w:val="00990360"/>
    <w:rsid w:val="009925AA"/>
    <w:rsid w:val="009A333C"/>
    <w:rsid w:val="009C218B"/>
    <w:rsid w:val="009C48EE"/>
    <w:rsid w:val="00A040BD"/>
    <w:rsid w:val="00A1344B"/>
    <w:rsid w:val="00A14D76"/>
    <w:rsid w:val="00A233B9"/>
    <w:rsid w:val="00A35A59"/>
    <w:rsid w:val="00A5644F"/>
    <w:rsid w:val="00A56A9A"/>
    <w:rsid w:val="00A71FC7"/>
    <w:rsid w:val="00A87E8A"/>
    <w:rsid w:val="00AA27EA"/>
    <w:rsid w:val="00AB19A4"/>
    <w:rsid w:val="00AC2B55"/>
    <w:rsid w:val="00AD41FF"/>
    <w:rsid w:val="00AE31E0"/>
    <w:rsid w:val="00AE54B0"/>
    <w:rsid w:val="00B04E95"/>
    <w:rsid w:val="00B10A71"/>
    <w:rsid w:val="00B1776B"/>
    <w:rsid w:val="00B22118"/>
    <w:rsid w:val="00B25A36"/>
    <w:rsid w:val="00B40D1D"/>
    <w:rsid w:val="00B41112"/>
    <w:rsid w:val="00B4373D"/>
    <w:rsid w:val="00B53384"/>
    <w:rsid w:val="00B606AA"/>
    <w:rsid w:val="00B70869"/>
    <w:rsid w:val="00B70C16"/>
    <w:rsid w:val="00B7411E"/>
    <w:rsid w:val="00B95558"/>
    <w:rsid w:val="00BB26D8"/>
    <w:rsid w:val="00BC28DE"/>
    <w:rsid w:val="00BC7A8B"/>
    <w:rsid w:val="00BD14C1"/>
    <w:rsid w:val="00BE7384"/>
    <w:rsid w:val="00BF4578"/>
    <w:rsid w:val="00C17FC0"/>
    <w:rsid w:val="00C20B30"/>
    <w:rsid w:val="00C34C71"/>
    <w:rsid w:val="00C4108B"/>
    <w:rsid w:val="00C45DF7"/>
    <w:rsid w:val="00C46066"/>
    <w:rsid w:val="00C56E8A"/>
    <w:rsid w:val="00C71B9E"/>
    <w:rsid w:val="00C90A88"/>
    <w:rsid w:val="00C965A3"/>
    <w:rsid w:val="00CA383C"/>
    <w:rsid w:val="00CB0AD4"/>
    <w:rsid w:val="00CC01B2"/>
    <w:rsid w:val="00CC27C2"/>
    <w:rsid w:val="00CD075E"/>
    <w:rsid w:val="00CE1ADF"/>
    <w:rsid w:val="00CE51F8"/>
    <w:rsid w:val="00D00F68"/>
    <w:rsid w:val="00D01704"/>
    <w:rsid w:val="00D14B57"/>
    <w:rsid w:val="00D23E46"/>
    <w:rsid w:val="00D57B24"/>
    <w:rsid w:val="00D73037"/>
    <w:rsid w:val="00D761E1"/>
    <w:rsid w:val="00D81E7A"/>
    <w:rsid w:val="00D86662"/>
    <w:rsid w:val="00DB02FD"/>
    <w:rsid w:val="00DB366C"/>
    <w:rsid w:val="00DB7874"/>
    <w:rsid w:val="00DC0E68"/>
    <w:rsid w:val="00DC157D"/>
    <w:rsid w:val="00DC457A"/>
    <w:rsid w:val="00DD1066"/>
    <w:rsid w:val="00DD6174"/>
    <w:rsid w:val="00DF586F"/>
    <w:rsid w:val="00E0406A"/>
    <w:rsid w:val="00E2022B"/>
    <w:rsid w:val="00E301E8"/>
    <w:rsid w:val="00E312A4"/>
    <w:rsid w:val="00E3777D"/>
    <w:rsid w:val="00E37953"/>
    <w:rsid w:val="00E61C91"/>
    <w:rsid w:val="00E72AA3"/>
    <w:rsid w:val="00E746DB"/>
    <w:rsid w:val="00E74B6E"/>
    <w:rsid w:val="00E756EB"/>
    <w:rsid w:val="00E757B4"/>
    <w:rsid w:val="00E7710A"/>
    <w:rsid w:val="00E77A07"/>
    <w:rsid w:val="00E84206"/>
    <w:rsid w:val="00E92662"/>
    <w:rsid w:val="00E967F2"/>
    <w:rsid w:val="00EC6C47"/>
    <w:rsid w:val="00ED0A4F"/>
    <w:rsid w:val="00ED44CD"/>
    <w:rsid w:val="00EE77F0"/>
    <w:rsid w:val="00F074AA"/>
    <w:rsid w:val="00F153A9"/>
    <w:rsid w:val="00F211FB"/>
    <w:rsid w:val="00F34275"/>
    <w:rsid w:val="00F46450"/>
    <w:rsid w:val="00F95E80"/>
    <w:rsid w:val="00FD55AA"/>
    <w:rsid w:val="00FE47E9"/>
    <w:rsid w:val="15172E6C"/>
    <w:rsid w:val="155F22E0"/>
    <w:rsid w:val="15B8194B"/>
    <w:rsid w:val="21A2075E"/>
    <w:rsid w:val="25410924"/>
    <w:rsid w:val="2F713714"/>
    <w:rsid w:val="41163863"/>
    <w:rsid w:val="46EE0F8B"/>
    <w:rsid w:val="4D310D32"/>
    <w:rsid w:val="4F001BE8"/>
    <w:rsid w:val="543C4163"/>
    <w:rsid w:val="55E03E74"/>
    <w:rsid w:val="592C76D9"/>
    <w:rsid w:val="5A2128D5"/>
    <w:rsid w:val="66FA75CE"/>
    <w:rsid w:val="6E224F50"/>
    <w:rsid w:val="6EBF0697"/>
    <w:rsid w:val="7670259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nhideWhenUsed="0" w:uiPriority="99"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rPr>
      <w:rFonts w:ascii="宋体" w:hAnsi="宋体" w:eastAsia="宋体"/>
      <w:sz w:val="21"/>
    </w:rPr>
  </w:style>
  <w:style w:type="paragraph" w:styleId="3">
    <w:name w:val="Date"/>
    <w:basedOn w:val="1"/>
    <w:next w:val="1"/>
    <w:link w:val="14"/>
    <w:qFormat/>
    <w:uiPriority w:val="99"/>
    <w:pPr>
      <w:ind w:left="100" w:leftChars="2500"/>
    </w:pPr>
  </w:style>
  <w:style w:type="paragraph" w:styleId="4">
    <w:name w:val="Balloon Text"/>
    <w:basedOn w:val="1"/>
    <w:link w:val="15"/>
    <w:qFormat/>
    <w:uiPriority w:val="99"/>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0">
    <w:name w:val="page number"/>
    <w:qFormat/>
    <w:uiPriority w:val="0"/>
    <w:rPr>
      <w:rFonts w:cs="Times New Roman"/>
    </w:rPr>
  </w:style>
  <w:style w:type="character" w:styleId="11">
    <w:name w:val="line number"/>
    <w:qFormat/>
    <w:uiPriority w:val="99"/>
    <w:rPr>
      <w:rFonts w:cs="Times New Roman"/>
    </w:rPr>
  </w:style>
  <w:style w:type="character" w:customStyle="1" w:styleId="12">
    <w:name w:val="页脚 字符"/>
    <w:link w:val="5"/>
    <w:qFormat/>
    <w:uiPriority w:val="0"/>
    <w:rPr>
      <w:rFonts w:eastAsia="仿宋_GB2312"/>
      <w:sz w:val="18"/>
      <w:szCs w:val="18"/>
    </w:rPr>
  </w:style>
  <w:style w:type="character" w:customStyle="1" w:styleId="13">
    <w:name w:val="页眉 字符"/>
    <w:link w:val="6"/>
    <w:semiHidden/>
    <w:qFormat/>
    <w:uiPriority w:val="99"/>
    <w:rPr>
      <w:rFonts w:eastAsia="仿宋_GB2312"/>
      <w:sz w:val="18"/>
      <w:szCs w:val="18"/>
    </w:rPr>
  </w:style>
  <w:style w:type="character" w:customStyle="1" w:styleId="14">
    <w:name w:val="日期 字符"/>
    <w:link w:val="3"/>
    <w:qFormat/>
    <w:locked/>
    <w:uiPriority w:val="99"/>
    <w:rPr>
      <w:rFonts w:eastAsia="仿宋_GB2312" w:cs="Times New Roman"/>
      <w:kern w:val="2"/>
      <w:sz w:val="24"/>
      <w:szCs w:val="24"/>
    </w:rPr>
  </w:style>
  <w:style w:type="character" w:customStyle="1" w:styleId="15">
    <w:name w:val="批注框文本 字符"/>
    <w:link w:val="4"/>
    <w:qFormat/>
    <w:locked/>
    <w:uiPriority w:val="99"/>
    <w:rPr>
      <w:rFonts w:eastAsia="仿宋_GB2312" w:cs="Times New Roman"/>
      <w:kern w:val="2"/>
      <w:sz w:val="18"/>
      <w:szCs w:val="18"/>
    </w:rPr>
  </w:style>
  <w:style w:type="paragraph" w:customStyle="1" w:styleId="16">
    <w:name w:val="Char Char1 Char Char Char Char Char Char Char Char Char Char Char Char Char Char"/>
    <w:basedOn w:val="1"/>
    <w:qFormat/>
    <w:uiPriority w:val="99"/>
    <w:pPr>
      <w:widowControl/>
      <w:spacing w:after="160" w:line="240" w:lineRule="exact"/>
      <w:jc w:val="left"/>
    </w:pPr>
    <w:rPr>
      <w:rFonts w:eastAsia="宋体"/>
      <w:sz w:val="21"/>
      <w:szCs w:val="20"/>
    </w:rPr>
  </w:style>
  <w:style w:type="character" w:customStyle="1" w:styleId="17">
    <w:name w:val="批注文字 字符"/>
    <w:link w:val="2"/>
    <w:qFormat/>
    <w:uiPriority w:val="0"/>
    <w:rPr>
      <w:rFonts w:ascii="宋体" w:hAnsi="宋体"/>
      <w:kern w:val="2"/>
      <w:sz w:val="21"/>
      <w:szCs w:val="24"/>
    </w:rPr>
  </w:style>
  <w:style w:type="character" w:customStyle="1" w:styleId="18">
    <w:name w:val="批注文字 Char1"/>
    <w:basedOn w:val="9"/>
    <w:semiHidden/>
    <w:qFormat/>
    <w:uiPriority w:val="99"/>
    <w:rPr>
      <w:rFonts w:eastAsia="仿宋_GB2312"/>
      <w:kern w:val="2"/>
      <w:sz w:val="32"/>
      <w:szCs w:val="24"/>
    </w:rPr>
  </w:style>
  <w:style w:type="paragraph" w:customStyle="1" w:styleId="19">
    <w:name w:val="列出段落1"/>
    <w:basedOn w:val="1"/>
    <w:qFormat/>
    <w:uiPriority w:val="0"/>
    <w:pPr>
      <w:ind w:firstLine="420" w:firstLineChars="200"/>
    </w:pPr>
    <w:rPr>
      <w:rFonts w:ascii="Calibri" w:hAnsi="Calibri" w:eastAsia="宋体"/>
      <w:szCs w:val="22"/>
    </w:rPr>
  </w:style>
  <w:style w:type="paragraph" w:styleId="2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numbering" Target="numbering.xml"/><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9DB7C292-F4B6-40B0-82EF-85D6DCDB84F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34</Pages>
  <Words>5152</Words>
  <Characters>5429</Characters>
  <Lines>110</Lines>
  <Paragraphs>31</Paragraphs>
  <TotalTime>1</TotalTime>
  <ScaleCrop>false</ScaleCrop>
  <LinksUpToDate>false</LinksUpToDate>
  <CharactersWithSpaces>5888</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2016-01-21T06:05:00Z</dcterms:created>
  <dc:creator>dell</dc:creator>
  <cp:lastModifiedBy>HR内罗毕</cp:lastModifiedBy>
  <cp:lastPrinted>2021-12-21T03:21:00Z</cp:lastPrinted>
  <dcterms:modified xsi:type="dcterms:W3CDTF">2024-11-21T08:27:15Z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0E26F04D1DF44B0183A285EE4DDF16D4</vt:lpwstr>
  </property>
</Properties>
</file>