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Times New Roman"/>
          <w:sz w:val="21"/>
          <w:szCs w:val="21"/>
        </w:rPr>
      </w:pPr>
    </w:p>
    <w:p>
      <w:pPr>
        <w:widowControl w:val="0"/>
        <w:spacing w:line="700" w:lineRule="exact"/>
        <w:jc w:val="center"/>
        <w:rPr>
          <w:rFonts w:eastAsia="方正小标宋简体" w:cs="Times New Roman"/>
          <w:snapToGrid/>
          <w:sz w:val="44"/>
          <w:szCs w:val="32"/>
        </w:rPr>
      </w:pPr>
      <w:r>
        <w:rPr>
          <w:rFonts w:eastAsia="方正小标宋简体" w:cs="Times New Roman"/>
          <w:snapToGrid/>
          <w:sz w:val="44"/>
          <w:szCs w:val="32"/>
        </w:rPr>
        <w:t>成都市卫生健康委员会</w:t>
      </w:r>
    </w:p>
    <w:p>
      <w:pPr>
        <w:widowControl w:val="0"/>
        <w:spacing w:line="700" w:lineRule="exact"/>
        <w:jc w:val="center"/>
        <w:rPr>
          <w:rFonts w:eastAsia="方正小标宋_GBK" w:cs="Times New Roman"/>
          <w:snapToGrid/>
          <w:sz w:val="44"/>
          <w:szCs w:val="32"/>
        </w:rPr>
      </w:pPr>
      <w:r>
        <w:rPr>
          <w:rFonts w:eastAsia="方正小标宋简体" w:cs="Times New Roman"/>
          <w:snapToGrid/>
          <w:sz w:val="44"/>
          <w:szCs w:val="32"/>
        </w:rPr>
        <w:t>关于做好202</w:t>
      </w:r>
      <w:r>
        <w:rPr>
          <w:rFonts w:hint="eastAsia" w:eastAsia="方正小标宋简体" w:cs="Times New Roman"/>
          <w:snapToGrid/>
          <w:sz w:val="44"/>
          <w:szCs w:val="32"/>
          <w:lang w:val="en-US" w:eastAsia="zh-CN"/>
        </w:rPr>
        <w:t>5</w:t>
      </w:r>
      <w:r>
        <w:rPr>
          <w:rFonts w:eastAsia="方正小标宋简体" w:cs="Times New Roman"/>
          <w:snapToGrid/>
          <w:sz w:val="44"/>
          <w:szCs w:val="32"/>
        </w:rPr>
        <w:t>年护士执业资格考试工作的</w:t>
      </w:r>
      <w:r>
        <w:rPr>
          <w:rFonts w:hint="eastAsia" w:eastAsia="方正小标宋简体" w:cs="Times New Roman"/>
          <w:snapToGrid/>
          <w:sz w:val="44"/>
          <w:szCs w:val="32"/>
        </w:rPr>
        <w:t xml:space="preserve"> </w:t>
      </w:r>
      <w:r>
        <w:rPr>
          <w:rFonts w:eastAsia="方正小标宋简体" w:cs="Times New Roman"/>
          <w:snapToGrid/>
          <w:sz w:val="44"/>
          <w:szCs w:val="32"/>
        </w:rPr>
        <w:t xml:space="preserve"> </w:t>
      </w:r>
      <w:r>
        <w:rPr>
          <w:rFonts w:hint="eastAsia" w:eastAsia="方正小标宋简体" w:cs="Times New Roman"/>
          <w:snapToGrid/>
          <w:sz w:val="44"/>
          <w:szCs w:val="32"/>
          <w:lang w:val="en-US" w:eastAsia="zh-CN"/>
        </w:rPr>
        <w:t xml:space="preserve">  </w:t>
      </w:r>
      <w:r>
        <w:rPr>
          <w:rFonts w:eastAsia="方正小标宋简体" w:cs="Times New Roman"/>
          <w:snapToGrid/>
          <w:sz w:val="44"/>
          <w:szCs w:val="32"/>
        </w:rPr>
        <w:t>通</w:t>
      </w:r>
      <w:r>
        <w:rPr>
          <w:rFonts w:hint="eastAsia" w:eastAsia="方正小标宋简体" w:cs="Times New Roman"/>
          <w:snapToGrid/>
          <w:sz w:val="44"/>
          <w:szCs w:val="32"/>
        </w:rPr>
        <w:t xml:space="preserve"> </w:t>
      </w:r>
      <w:r>
        <w:rPr>
          <w:rFonts w:eastAsia="方正小标宋简体" w:cs="Times New Roman"/>
          <w:snapToGrid/>
          <w:sz w:val="44"/>
          <w:szCs w:val="32"/>
        </w:rPr>
        <w:t xml:space="preserve">   知</w:t>
      </w:r>
    </w:p>
    <w:p>
      <w:pPr>
        <w:widowControl w:val="0"/>
        <w:spacing w:line="700" w:lineRule="exact"/>
        <w:jc w:val="center"/>
        <w:rPr>
          <w:rFonts w:eastAsia="方正小标宋_GBK" w:cs="Times New Roman"/>
          <w:snapToGrid/>
          <w:sz w:val="44"/>
          <w:szCs w:val="32"/>
        </w:rPr>
      </w:pPr>
    </w:p>
    <w:p>
      <w:pPr>
        <w:rPr>
          <w:rFonts w:eastAsia="仿宋" w:cs="Times New Roman"/>
          <w:szCs w:val="32"/>
        </w:rPr>
      </w:pPr>
      <w:r>
        <w:rPr>
          <w:rFonts w:eastAsia="仿宋" w:cs="Times New Roman"/>
          <w:szCs w:val="32"/>
        </w:rPr>
        <w:t xml:space="preserve">各区(市）县卫健局，委直属单位： </w:t>
      </w:r>
    </w:p>
    <w:p>
      <w:pPr>
        <w:widowControl w:val="0"/>
        <w:overflowPunct w:val="0"/>
        <w:snapToGrid w:val="0"/>
        <w:ind w:firstLine="640" w:firstLineChars="200"/>
        <w:rPr>
          <w:rFonts w:eastAsia="仿宋" w:cs="Times New Roman"/>
          <w:szCs w:val="32"/>
        </w:rPr>
      </w:pPr>
      <w:r>
        <w:rPr>
          <w:rFonts w:eastAsia="仿宋" w:cs="Times New Roman"/>
          <w:szCs w:val="32"/>
        </w:rPr>
        <w:t>根据《全国护士执业资格考试委员会办公室关于202</w:t>
      </w:r>
      <w:r>
        <w:rPr>
          <w:rFonts w:hint="eastAsia" w:eastAsia="仿宋" w:cs="Times New Roman"/>
          <w:szCs w:val="32"/>
          <w:lang w:val="en-US" w:eastAsia="zh-CN"/>
        </w:rPr>
        <w:t>5</w:t>
      </w:r>
      <w:r>
        <w:rPr>
          <w:rFonts w:eastAsia="仿宋" w:cs="Times New Roman"/>
          <w:szCs w:val="32"/>
        </w:rPr>
        <w:t>年护士执业资格考试有关问题的通知》（护考办发〔202</w:t>
      </w:r>
      <w:r>
        <w:rPr>
          <w:rFonts w:hint="eastAsia" w:eastAsia="仿宋" w:cs="Times New Roman"/>
          <w:szCs w:val="32"/>
          <w:lang w:val="en-US" w:eastAsia="zh-CN"/>
        </w:rPr>
        <w:t>4</w:t>
      </w:r>
      <w:r>
        <w:rPr>
          <w:rFonts w:eastAsia="仿宋" w:cs="Times New Roman"/>
          <w:szCs w:val="32"/>
        </w:rPr>
        <w:t>〕4号）、</w:t>
      </w:r>
      <w:r>
        <w:rPr>
          <w:rFonts w:hint="eastAsia" w:eastAsia="仿宋" w:cs="Times New Roman"/>
          <w:szCs w:val="32"/>
        </w:rPr>
        <w:t>《</w:t>
      </w:r>
      <w:r>
        <w:rPr>
          <w:rFonts w:eastAsia="仿宋" w:cs="Times New Roman"/>
          <w:szCs w:val="32"/>
        </w:rPr>
        <w:t>国家卫生健康委人才交流服务中心关于202</w:t>
      </w:r>
      <w:r>
        <w:rPr>
          <w:rFonts w:hint="eastAsia" w:eastAsia="仿宋" w:cs="Times New Roman"/>
          <w:szCs w:val="32"/>
          <w:lang w:val="en-US" w:eastAsia="zh-CN"/>
        </w:rPr>
        <w:t>5</w:t>
      </w:r>
      <w:r>
        <w:rPr>
          <w:rFonts w:eastAsia="仿宋" w:cs="Times New Roman"/>
          <w:szCs w:val="32"/>
        </w:rPr>
        <w:t>年护士执业资格考试考务工作安排的通知》（卫人才发〔202</w:t>
      </w:r>
      <w:r>
        <w:rPr>
          <w:rFonts w:hint="eastAsia" w:eastAsia="仿宋" w:cs="Times New Roman"/>
          <w:szCs w:val="32"/>
          <w:lang w:val="en-US" w:eastAsia="zh-CN"/>
        </w:rPr>
        <w:t>4</w:t>
      </w:r>
      <w:r>
        <w:rPr>
          <w:rFonts w:eastAsia="仿宋" w:cs="Times New Roman"/>
          <w:szCs w:val="32"/>
        </w:rPr>
        <w:t>〕8</w:t>
      </w:r>
      <w:r>
        <w:rPr>
          <w:rFonts w:hint="eastAsia" w:eastAsia="仿宋" w:cs="Times New Roman"/>
          <w:szCs w:val="32"/>
          <w:lang w:val="en-US" w:eastAsia="zh-CN"/>
        </w:rPr>
        <w:t>2</w:t>
      </w:r>
      <w:r>
        <w:rPr>
          <w:rFonts w:eastAsia="仿宋" w:cs="Times New Roman"/>
          <w:szCs w:val="32"/>
        </w:rPr>
        <w:t>号）和《四川省卫生健康委员会办公室关于做好202</w:t>
      </w:r>
      <w:r>
        <w:rPr>
          <w:rFonts w:hint="eastAsia" w:eastAsia="仿宋" w:cs="Times New Roman"/>
          <w:szCs w:val="32"/>
          <w:lang w:val="en-US" w:eastAsia="zh-CN"/>
        </w:rPr>
        <w:t>5</w:t>
      </w:r>
      <w:r>
        <w:rPr>
          <w:rFonts w:eastAsia="仿宋" w:cs="Times New Roman"/>
          <w:szCs w:val="32"/>
        </w:rPr>
        <w:t>年护士执业资格考试工作的通知》（川卫办人事便函〔202</w:t>
      </w:r>
      <w:r>
        <w:rPr>
          <w:rFonts w:hint="eastAsia" w:eastAsia="仿宋" w:cs="Times New Roman"/>
          <w:szCs w:val="32"/>
          <w:lang w:val="en-US" w:eastAsia="zh-CN"/>
        </w:rPr>
        <w:t>4</w:t>
      </w:r>
      <w:r>
        <w:rPr>
          <w:rFonts w:eastAsia="仿宋" w:cs="Times New Roman"/>
          <w:szCs w:val="32"/>
        </w:rPr>
        <w:t>〕</w:t>
      </w:r>
      <w:r>
        <w:rPr>
          <w:rFonts w:hint="eastAsia" w:eastAsia="仿宋" w:cs="Times New Roman"/>
          <w:szCs w:val="32"/>
          <w:lang w:val="en-US" w:eastAsia="zh-CN"/>
        </w:rPr>
        <w:t>25</w:t>
      </w:r>
      <w:r>
        <w:rPr>
          <w:rFonts w:eastAsia="仿宋" w:cs="Times New Roman"/>
          <w:szCs w:val="32"/>
        </w:rPr>
        <w:t>号）文件要求，为确保我市202</w:t>
      </w:r>
      <w:r>
        <w:rPr>
          <w:rFonts w:hint="eastAsia" w:eastAsia="仿宋" w:cs="Times New Roman"/>
          <w:szCs w:val="32"/>
          <w:lang w:val="en-US" w:eastAsia="zh-CN"/>
        </w:rPr>
        <w:t>5</w:t>
      </w:r>
      <w:r>
        <w:rPr>
          <w:rFonts w:eastAsia="仿宋" w:cs="Times New Roman"/>
          <w:szCs w:val="32"/>
        </w:rPr>
        <w:t>年护士执业资格考试工作顺利进行，现将有关事项通知如下：</w:t>
      </w:r>
    </w:p>
    <w:p>
      <w:pPr>
        <w:widowControl w:val="0"/>
        <w:ind w:firstLine="640" w:firstLineChars="200"/>
        <w:rPr>
          <w:rFonts w:eastAsia="黑体" w:cs="Times New Roman"/>
          <w:bCs/>
          <w:snapToGrid/>
          <w:szCs w:val="32"/>
        </w:rPr>
      </w:pPr>
      <w:r>
        <w:rPr>
          <w:rFonts w:eastAsia="黑体" w:cs="Times New Roman"/>
          <w:bCs/>
          <w:snapToGrid/>
          <w:szCs w:val="32"/>
        </w:rPr>
        <w:t>一、报考条件</w:t>
      </w:r>
    </w:p>
    <w:p>
      <w:pPr>
        <w:widowControl w:val="0"/>
        <w:overflowPunct w:val="0"/>
        <w:snapToGrid w:val="0"/>
        <w:ind w:firstLine="640" w:firstLineChars="200"/>
        <w:rPr>
          <w:rFonts w:eastAsia="仿宋" w:cs="Times New Roman"/>
          <w:szCs w:val="32"/>
        </w:rPr>
      </w:pPr>
      <w:r>
        <w:rPr>
          <w:rFonts w:eastAsia="仿宋" w:cs="Times New Roman"/>
          <w:szCs w:val="32"/>
        </w:rPr>
        <w:t>在高等学校、中等职业学校完成国务院教育主管部门和卫生健康主管部门规定的普通全日制3年以上的护理、助产专业课程学习，包括在教学、综合医院完成8个月以上护理临床实习，并取得相应学历证书的，可以申请参加护士执业资格考试。</w:t>
      </w:r>
    </w:p>
    <w:p>
      <w:pPr>
        <w:widowControl w:val="0"/>
        <w:ind w:firstLine="640" w:firstLineChars="200"/>
        <w:rPr>
          <w:rFonts w:eastAsia="黑体" w:cs="Times New Roman"/>
          <w:bCs/>
          <w:snapToGrid/>
          <w:szCs w:val="32"/>
        </w:rPr>
      </w:pPr>
      <w:r>
        <w:rPr>
          <w:rFonts w:eastAsia="黑体" w:cs="Times New Roman"/>
          <w:bCs/>
          <w:snapToGrid/>
          <w:szCs w:val="32"/>
        </w:rPr>
        <w:t>二、报名管理及资格初审</w:t>
      </w:r>
    </w:p>
    <w:p>
      <w:pPr>
        <w:widowControl w:val="0"/>
        <w:ind w:firstLine="640" w:firstLineChars="200"/>
        <w:rPr>
          <w:rFonts w:eastAsia="黑体" w:cs="Times New Roman"/>
          <w:b/>
          <w:snapToGrid/>
          <w:szCs w:val="32"/>
        </w:rPr>
      </w:pPr>
      <w:r>
        <w:rPr>
          <w:rFonts w:eastAsia="仿宋" w:cs="Times New Roman"/>
          <w:snapToGrid/>
          <w:szCs w:val="32"/>
        </w:rPr>
        <w:t>（一）报名时间及方式：</w:t>
      </w:r>
      <w:r>
        <w:rPr>
          <w:rFonts w:eastAsia="仿宋" w:cs="Times New Roman"/>
          <w:szCs w:val="32"/>
        </w:rPr>
        <w:t>考试报名包括</w:t>
      </w:r>
      <w:r>
        <w:rPr>
          <w:rFonts w:hint="eastAsia" w:eastAsia="仿宋" w:cs="Times New Roman"/>
          <w:szCs w:val="32"/>
          <w:lang w:val="en-US" w:eastAsia="zh-CN"/>
        </w:rPr>
        <w:t>网上报名、现场确认、资格审核和网上缴费四个阶段</w:t>
      </w:r>
      <w:r>
        <w:rPr>
          <w:rFonts w:eastAsia="仿宋" w:cs="Times New Roman"/>
          <w:szCs w:val="32"/>
        </w:rPr>
        <w:t>。202</w:t>
      </w:r>
      <w:r>
        <w:rPr>
          <w:rFonts w:hint="eastAsia" w:eastAsia="仿宋" w:cs="Times New Roman"/>
          <w:szCs w:val="32"/>
          <w:lang w:val="en-US" w:eastAsia="zh-CN"/>
        </w:rPr>
        <w:t>4</w:t>
      </w:r>
      <w:r>
        <w:rPr>
          <w:rFonts w:eastAsia="仿宋" w:cs="Times New Roman"/>
          <w:szCs w:val="32"/>
        </w:rPr>
        <w:t>年</w:t>
      </w:r>
      <w:r>
        <w:rPr>
          <w:rFonts w:eastAsia="仿宋" w:cs="Times New Roman"/>
          <w:szCs w:val="32"/>
          <w:highlight w:val="none"/>
        </w:rPr>
        <w:t>12月</w:t>
      </w:r>
      <w:r>
        <w:rPr>
          <w:rFonts w:hint="eastAsia" w:eastAsia="仿宋" w:cs="Times New Roman"/>
          <w:szCs w:val="32"/>
          <w:highlight w:val="none"/>
          <w:lang w:val="en-US" w:eastAsia="zh-CN"/>
        </w:rPr>
        <w:t>3日</w:t>
      </w:r>
      <w:r>
        <w:rPr>
          <w:rFonts w:eastAsia="仿宋" w:cs="Times New Roman"/>
          <w:szCs w:val="32"/>
          <w:highlight w:val="none"/>
        </w:rPr>
        <w:t>-</w:t>
      </w:r>
      <w:r>
        <w:rPr>
          <w:rFonts w:hint="eastAsia" w:eastAsia="仿宋" w:cs="Times New Roman"/>
          <w:szCs w:val="32"/>
          <w:highlight w:val="none"/>
          <w:lang w:val="en-US" w:eastAsia="zh-CN"/>
        </w:rPr>
        <w:t>12月16</w:t>
      </w:r>
      <w:r>
        <w:rPr>
          <w:rFonts w:eastAsia="仿宋" w:cs="Times New Roman"/>
          <w:szCs w:val="32"/>
          <w:highlight w:val="none"/>
        </w:rPr>
        <w:t>日期间，</w:t>
      </w:r>
      <w:r>
        <w:rPr>
          <w:rFonts w:eastAsia="仿宋" w:cs="Times New Roman"/>
          <w:szCs w:val="32"/>
        </w:rPr>
        <w:t>考生可登录国家卫生健康委人才交流服务中心官网（www.21wecan.com）进行网上报名。</w:t>
      </w:r>
      <w:r>
        <w:rPr>
          <w:rFonts w:hint="eastAsia" w:eastAsia="仿宋" w:cs="Times New Roman"/>
          <w:szCs w:val="32"/>
          <w:lang w:val="en-US" w:eastAsia="zh-CN"/>
        </w:rPr>
        <w:t>考生须按照报名须知，如实准确地在网上填写个人报名信息</w:t>
      </w:r>
      <w:r>
        <w:rPr>
          <w:rFonts w:eastAsia="仿宋" w:cs="Times New Roman"/>
          <w:szCs w:val="32"/>
        </w:rPr>
        <w:t>，在填报单</w:t>
      </w:r>
      <w:r>
        <w:rPr>
          <w:rFonts w:eastAsia="仿宋" w:cs="Times New Roman"/>
          <w:color w:val="000000" w:themeColor="text1"/>
          <w:szCs w:val="32"/>
        </w:rPr>
        <w:t>位名称时须规范填写单位或学校全称</w:t>
      </w:r>
      <w:r>
        <w:rPr>
          <w:rFonts w:hint="eastAsia" w:ascii="仿宋" w:hAnsi="仿宋" w:eastAsia="仿宋" w:cs="微软雅黑"/>
          <w:snapToGrid/>
          <w:color w:val="000000" w:themeColor="text1"/>
          <w:kern w:val="0"/>
          <w:szCs w:val="32"/>
          <w:shd w:val="clear" w:color="auto" w:fill="FFFFFF"/>
        </w:rPr>
        <w:t>（与组织机构代码证一致）</w:t>
      </w:r>
      <w:r>
        <w:rPr>
          <w:rFonts w:eastAsia="仿宋" w:cs="Times New Roman"/>
          <w:color w:val="000000" w:themeColor="text1"/>
          <w:szCs w:val="32"/>
        </w:rPr>
        <w:t>，并从网上自行打印《202</w:t>
      </w:r>
      <w:r>
        <w:rPr>
          <w:rFonts w:hint="eastAsia" w:eastAsia="仿宋" w:cs="Times New Roman"/>
          <w:color w:val="000000" w:themeColor="text1"/>
          <w:szCs w:val="32"/>
          <w:lang w:val="en-US" w:eastAsia="zh-CN"/>
        </w:rPr>
        <w:t>5</w:t>
      </w:r>
      <w:r>
        <w:rPr>
          <w:rFonts w:eastAsia="仿宋" w:cs="Times New Roman"/>
          <w:color w:val="000000" w:themeColor="text1"/>
          <w:szCs w:val="32"/>
        </w:rPr>
        <w:t>年护士执业资格考试报名申请</w:t>
      </w:r>
      <w:r>
        <w:rPr>
          <w:rFonts w:eastAsia="仿宋" w:cs="Times New Roman"/>
          <w:szCs w:val="32"/>
        </w:rPr>
        <w:t>表》。上传照片必须为考生本人近期标准彩色免冠白底证件照，格式为JPG。</w:t>
      </w:r>
    </w:p>
    <w:p>
      <w:pPr>
        <w:widowControl w:val="0"/>
        <w:ind w:firstLine="640" w:firstLineChars="200"/>
        <w:rPr>
          <w:rFonts w:eastAsia="仿宋" w:cs="Times New Roman"/>
          <w:color w:val="000000" w:themeColor="text1"/>
          <w:szCs w:val="32"/>
        </w:rPr>
      </w:pPr>
      <w:r>
        <w:rPr>
          <w:rFonts w:eastAsia="仿宋" w:cs="Times New Roman"/>
          <w:snapToGrid/>
          <w:color w:val="000000" w:themeColor="text1"/>
          <w:szCs w:val="32"/>
        </w:rPr>
        <w:t>（二）报名</w:t>
      </w:r>
      <w:r>
        <w:rPr>
          <w:rFonts w:hint="eastAsia" w:eastAsia="仿宋" w:cs="Times New Roman"/>
          <w:snapToGrid/>
          <w:color w:val="000000" w:themeColor="text1"/>
          <w:szCs w:val="32"/>
          <w:lang w:val="en-US" w:eastAsia="zh-CN"/>
        </w:rPr>
        <w:t>资格初审</w:t>
      </w:r>
      <w:r>
        <w:rPr>
          <w:rFonts w:eastAsia="仿宋" w:cs="Times New Roman"/>
          <w:snapToGrid/>
          <w:color w:val="000000" w:themeColor="text1"/>
          <w:szCs w:val="32"/>
        </w:rPr>
        <w:t>地点：申报人为在校应届毕业生的，应由学校出具应届毕业生毕业证明及其它证明材料，由学校办理集体报名手续；申报人为非应届毕业生的，可到本人工作单位所在地报名点报名，也可以选择到人事档案所在地报名点报名。各区（市）县卫健局</w:t>
      </w:r>
      <w:r>
        <w:rPr>
          <w:rFonts w:eastAsia="仿宋" w:cs="Times New Roman"/>
          <w:color w:val="000000" w:themeColor="text1"/>
          <w:szCs w:val="32"/>
        </w:rPr>
        <w:t>及有关单位（学校）负责本地区或本单位（学校）的报名、初审工作。</w:t>
      </w:r>
    </w:p>
    <w:p>
      <w:pPr>
        <w:widowControl w:val="0"/>
        <w:ind w:firstLine="640" w:firstLineChars="200"/>
        <w:rPr>
          <w:rFonts w:eastAsia="仿宋" w:cs="Times New Roman"/>
          <w:snapToGrid/>
          <w:color w:val="000000" w:themeColor="text1"/>
          <w:szCs w:val="32"/>
        </w:rPr>
      </w:pPr>
      <w:r>
        <w:rPr>
          <w:rFonts w:eastAsia="仿宋" w:cs="Times New Roman"/>
          <w:snapToGrid/>
          <w:color w:val="000000" w:themeColor="text1"/>
          <w:szCs w:val="32"/>
        </w:rPr>
        <w:t>（三）各区（市）县卫健局和有关单位应积极做好宣传工作，严格按照成都考点规定的时间组织好考生报名</w:t>
      </w:r>
      <w:r>
        <w:rPr>
          <w:rFonts w:eastAsia="仿宋" w:cs="Times New Roman"/>
          <w:snapToGrid/>
          <w:szCs w:val="32"/>
        </w:rPr>
        <w:t>及资格初审，不得提前结束报名。</w:t>
      </w:r>
    </w:p>
    <w:p>
      <w:pPr>
        <w:widowControl w:val="0"/>
        <w:tabs>
          <w:tab w:val="right" w:pos="8845"/>
        </w:tabs>
        <w:ind w:firstLine="640" w:firstLineChars="200"/>
        <w:rPr>
          <w:rFonts w:eastAsia="黑体" w:cs="Times New Roman"/>
          <w:bCs/>
          <w:snapToGrid/>
          <w:color w:val="000000" w:themeColor="text1"/>
          <w:szCs w:val="32"/>
        </w:rPr>
      </w:pPr>
      <w:r>
        <w:rPr>
          <w:rFonts w:eastAsia="黑体" w:cs="Times New Roman"/>
          <w:bCs/>
          <w:snapToGrid/>
          <w:color w:val="000000" w:themeColor="text1"/>
          <w:szCs w:val="32"/>
        </w:rPr>
        <w:t>三、现场确认</w:t>
      </w:r>
      <w:r>
        <w:rPr>
          <w:rFonts w:hint="eastAsia" w:eastAsia="黑体" w:cs="Times New Roman"/>
          <w:bCs/>
          <w:snapToGrid/>
          <w:color w:val="000000" w:themeColor="text1"/>
          <w:szCs w:val="32"/>
          <w:lang w:val="en-US" w:eastAsia="zh-CN"/>
        </w:rPr>
        <w:t>及资格复审</w:t>
      </w:r>
      <w:r>
        <w:rPr>
          <w:rFonts w:eastAsia="黑体" w:cs="Times New Roman"/>
          <w:bCs/>
          <w:snapToGrid/>
          <w:color w:val="000000" w:themeColor="text1"/>
          <w:szCs w:val="32"/>
        </w:rPr>
        <w:t>工作</w:t>
      </w:r>
      <w:r>
        <w:rPr>
          <w:rFonts w:eastAsia="黑体" w:cs="Times New Roman"/>
          <w:bCs/>
          <w:snapToGrid/>
          <w:color w:val="000000" w:themeColor="text1"/>
          <w:szCs w:val="32"/>
        </w:rPr>
        <w:tab/>
      </w:r>
    </w:p>
    <w:p>
      <w:pPr>
        <w:widowControl w:val="0"/>
        <w:ind w:firstLine="640" w:firstLineChars="200"/>
        <w:rPr>
          <w:rFonts w:eastAsia="仿宋" w:cs="Times New Roman"/>
          <w:snapToGrid/>
          <w:color w:val="FF0000"/>
          <w:szCs w:val="32"/>
        </w:rPr>
      </w:pPr>
      <w:r>
        <w:rPr>
          <w:rFonts w:eastAsia="仿宋" w:cs="Times New Roman"/>
          <w:snapToGrid/>
          <w:color w:val="000000" w:themeColor="text1"/>
          <w:szCs w:val="32"/>
        </w:rPr>
        <w:t>（一）各区（市）县、各单位在规定时间内备齐资料统一到成都市护士执业资格考试考点办公室（成都市卫生健康人才交流中心，青羊区东城根下街24号）集体办理现场确认</w:t>
      </w:r>
      <w:r>
        <w:rPr>
          <w:rFonts w:hint="eastAsia" w:eastAsia="仿宋" w:cs="Times New Roman"/>
          <w:snapToGrid/>
          <w:color w:val="000000" w:themeColor="text1"/>
          <w:szCs w:val="32"/>
          <w:lang w:val="en-US" w:eastAsia="zh-CN"/>
        </w:rPr>
        <w:t>及资格复审</w:t>
      </w:r>
      <w:r>
        <w:rPr>
          <w:rFonts w:eastAsia="仿宋" w:cs="Times New Roman"/>
          <w:snapToGrid/>
          <w:color w:val="000000" w:themeColor="text1"/>
          <w:szCs w:val="32"/>
        </w:rPr>
        <w:t>手续，同时提交《成都市202</w:t>
      </w:r>
      <w:r>
        <w:rPr>
          <w:rFonts w:hint="eastAsia" w:eastAsia="仿宋" w:cs="Times New Roman"/>
          <w:snapToGrid/>
          <w:color w:val="000000" w:themeColor="text1"/>
          <w:szCs w:val="32"/>
          <w:lang w:val="en-US" w:eastAsia="zh-CN"/>
        </w:rPr>
        <w:t>5</w:t>
      </w:r>
      <w:r>
        <w:rPr>
          <w:rFonts w:eastAsia="仿宋" w:cs="Times New Roman"/>
          <w:snapToGrid/>
          <w:color w:val="000000" w:themeColor="text1"/>
          <w:szCs w:val="32"/>
        </w:rPr>
        <w:t>年护士执业资格考试报名花名册》（见附件</w:t>
      </w:r>
      <w:r>
        <w:rPr>
          <w:rFonts w:hint="eastAsia" w:eastAsia="仿宋" w:cs="Times New Roman"/>
          <w:snapToGrid/>
          <w:color w:val="000000" w:themeColor="text1"/>
          <w:szCs w:val="32"/>
        </w:rPr>
        <w:t>2</w:t>
      </w:r>
      <w:r>
        <w:rPr>
          <w:rFonts w:eastAsia="仿宋" w:cs="Times New Roman"/>
          <w:snapToGrid/>
          <w:color w:val="000000" w:themeColor="text1"/>
          <w:szCs w:val="32"/>
        </w:rPr>
        <w:t>），考生不以个人形式到现场确认</w:t>
      </w:r>
      <w:r>
        <w:rPr>
          <w:rFonts w:hint="eastAsia" w:eastAsia="仿宋" w:cs="Times New Roman"/>
          <w:snapToGrid/>
          <w:color w:val="000000" w:themeColor="text1"/>
          <w:szCs w:val="32"/>
          <w:lang w:val="en-US" w:eastAsia="zh-CN"/>
        </w:rPr>
        <w:t>及资格复审</w:t>
      </w:r>
      <w:r>
        <w:rPr>
          <w:rFonts w:eastAsia="仿宋" w:cs="Times New Roman"/>
          <w:snapToGrid/>
          <w:color w:val="000000" w:themeColor="text1"/>
          <w:szCs w:val="32"/>
        </w:rPr>
        <w:t>，未经确认</w:t>
      </w:r>
      <w:r>
        <w:rPr>
          <w:rFonts w:hint="eastAsia" w:eastAsia="仿宋" w:cs="Times New Roman"/>
          <w:snapToGrid/>
          <w:color w:val="000000" w:themeColor="text1"/>
          <w:szCs w:val="32"/>
          <w:lang w:val="en-US" w:eastAsia="zh-CN"/>
        </w:rPr>
        <w:t>复审</w:t>
      </w:r>
      <w:r>
        <w:rPr>
          <w:rFonts w:eastAsia="仿宋" w:cs="Times New Roman"/>
          <w:snapToGrid/>
          <w:color w:val="000000" w:themeColor="text1"/>
          <w:szCs w:val="32"/>
        </w:rPr>
        <w:t>报名无效。现场资格确认</w:t>
      </w:r>
      <w:r>
        <w:rPr>
          <w:rFonts w:hint="eastAsia" w:eastAsia="仿宋" w:cs="Times New Roman"/>
          <w:snapToGrid/>
          <w:color w:val="000000" w:themeColor="text1"/>
          <w:szCs w:val="32"/>
          <w:lang w:val="en-US" w:eastAsia="zh-CN"/>
        </w:rPr>
        <w:t>复审</w:t>
      </w:r>
      <w:r>
        <w:rPr>
          <w:rFonts w:eastAsia="仿宋" w:cs="Times New Roman"/>
          <w:snapToGrid/>
          <w:color w:val="000000" w:themeColor="text1"/>
          <w:szCs w:val="32"/>
        </w:rPr>
        <w:t>时间为202</w:t>
      </w:r>
      <w:r>
        <w:rPr>
          <w:rFonts w:hint="eastAsia" w:eastAsia="仿宋" w:cs="Times New Roman"/>
          <w:snapToGrid/>
          <w:color w:val="000000" w:themeColor="text1"/>
          <w:szCs w:val="32"/>
          <w:lang w:val="en-US" w:eastAsia="zh-CN"/>
        </w:rPr>
        <w:t>4</w:t>
      </w:r>
      <w:r>
        <w:rPr>
          <w:rFonts w:eastAsia="仿宋" w:cs="Times New Roman"/>
          <w:snapToGrid/>
          <w:color w:val="000000" w:themeColor="text1"/>
          <w:szCs w:val="32"/>
        </w:rPr>
        <w:t>年12月1</w:t>
      </w:r>
      <w:r>
        <w:rPr>
          <w:rFonts w:hint="eastAsia" w:eastAsia="仿宋" w:cs="Times New Roman"/>
          <w:snapToGrid/>
          <w:color w:val="000000" w:themeColor="text1"/>
          <w:szCs w:val="32"/>
          <w:lang w:val="en-US" w:eastAsia="zh-CN"/>
        </w:rPr>
        <w:t>2</w:t>
      </w:r>
      <w:r>
        <w:rPr>
          <w:rFonts w:eastAsia="仿宋" w:cs="Times New Roman"/>
          <w:snapToGrid/>
          <w:color w:val="000000" w:themeColor="text1"/>
          <w:szCs w:val="32"/>
        </w:rPr>
        <w:t>日</w:t>
      </w:r>
      <w:r>
        <w:rPr>
          <w:rFonts w:hint="eastAsia" w:eastAsia="仿宋" w:cs="Times New Roman"/>
          <w:snapToGrid/>
          <w:color w:val="000000" w:themeColor="text1"/>
          <w:szCs w:val="32"/>
        </w:rPr>
        <w:t>-</w:t>
      </w:r>
      <w:r>
        <w:rPr>
          <w:rFonts w:hint="eastAsia" w:eastAsia="仿宋" w:cs="Times New Roman"/>
          <w:snapToGrid/>
          <w:color w:val="000000" w:themeColor="text1"/>
          <w:szCs w:val="32"/>
          <w:lang w:val="en-US" w:eastAsia="zh-CN"/>
        </w:rPr>
        <w:t>12月17</w:t>
      </w:r>
      <w:r>
        <w:rPr>
          <w:rFonts w:eastAsia="仿宋" w:cs="Times New Roman"/>
          <w:snapToGrid/>
          <w:color w:val="000000" w:themeColor="text1"/>
          <w:szCs w:val="32"/>
        </w:rPr>
        <w:t>日17:00时（见附件</w:t>
      </w:r>
      <w:r>
        <w:rPr>
          <w:rFonts w:hint="eastAsia" w:eastAsia="仿宋" w:cs="Times New Roman"/>
          <w:snapToGrid/>
          <w:color w:val="000000" w:themeColor="text1"/>
          <w:szCs w:val="32"/>
        </w:rPr>
        <w:t>3</w:t>
      </w:r>
      <w:r>
        <w:rPr>
          <w:rFonts w:eastAsia="仿宋" w:cs="Times New Roman"/>
          <w:snapToGrid/>
          <w:color w:val="000000" w:themeColor="text1"/>
          <w:szCs w:val="32"/>
        </w:rPr>
        <w:t>）。</w:t>
      </w:r>
    </w:p>
    <w:p>
      <w:pPr>
        <w:widowControl w:val="0"/>
        <w:ind w:firstLine="640" w:firstLineChars="200"/>
        <w:rPr>
          <w:rFonts w:eastAsia="仿宋" w:cs="Times New Roman"/>
          <w:color w:val="000000" w:themeColor="text1"/>
          <w:szCs w:val="32"/>
        </w:rPr>
      </w:pPr>
      <w:r>
        <w:rPr>
          <w:rFonts w:eastAsia="仿宋" w:cs="Times New Roman"/>
          <w:snapToGrid/>
          <w:color w:val="000000" w:themeColor="text1"/>
          <w:szCs w:val="32"/>
        </w:rPr>
        <w:t>（二）考生网上报名填报信息的准确性由本人负责。现场确认时，《202</w:t>
      </w:r>
      <w:r>
        <w:rPr>
          <w:rFonts w:hint="eastAsia" w:eastAsia="仿宋" w:cs="Times New Roman"/>
          <w:snapToGrid/>
          <w:color w:val="000000" w:themeColor="text1"/>
          <w:szCs w:val="32"/>
          <w:lang w:val="en-US" w:eastAsia="zh-CN"/>
        </w:rPr>
        <w:t>5</w:t>
      </w:r>
      <w:r>
        <w:rPr>
          <w:rFonts w:eastAsia="仿宋" w:cs="Times New Roman"/>
          <w:snapToGrid/>
          <w:color w:val="000000" w:themeColor="text1"/>
          <w:szCs w:val="32"/>
        </w:rPr>
        <w:t>年护士执业资格考试报名信息确认单》须经考生核对并签字确认。</w:t>
      </w:r>
      <w:r>
        <w:rPr>
          <w:rFonts w:eastAsia="仿宋" w:cs="Times New Roman"/>
          <w:color w:val="000000" w:themeColor="text1"/>
          <w:szCs w:val="32"/>
        </w:rPr>
        <w:t>经资格审核、现场资格确认履行报名手续完毕后，一律不得更改报考专业、科目等有关信息。凡未在规定时间内完成网上报名、资格确认的，逾期不再办理补报手续。</w:t>
      </w:r>
    </w:p>
    <w:p>
      <w:pPr>
        <w:widowControl w:val="0"/>
        <w:ind w:firstLine="640" w:firstLineChars="200"/>
        <w:rPr>
          <w:rFonts w:eastAsia="黑体" w:cs="Times New Roman"/>
          <w:bCs/>
          <w:snapToGrid/>
          <w:color w:val="000000" w:themeColor="text1"/>
          <w:szCs w:val="32"/>
        </w:rPr>
      </w:pPr>
      <w:r>
        <w:rPr>
          <w:rFonts w:eastAsia="黑体" w:cs="Times New Roman"/>
          <w:bCs/>
          <w:snapToGrid/>
          <w:color w:val="000000" w:themeColor="text1"/>
          <w:szCs w:val="32"/>
        </w:rPr>
        <w:t>四、须提交证件及材料</w:t>
      </w:r>
    </w:p>
    <w:p>
      <w:pPr>
        <w:widowControl w:val="0"/>
        <w:overflowPunct w:val="0"/>
        <w:snapToGrid w:val="0"/>
        <w:ind w:firstLine="640" w:firstLineChars="200"/>
        <w:rPr>
          <w:rFonts w:eastAsia="仿宋" w:cs="Times New Roman"/>
          <w:color w:val="000000" w:themeColor="text1"/>
          <w:szCs w:val="32"/>
        </w:rPr>
      </w:pPr>
      <w:r>
        <w:rPr>
          <w:rFonts w:eastAsia="仿宋" w:cs="Times New Roman"/>
          <w:color w:val="000000" w:themeColor="text1"/>
          <w:szCs w:val="32"/>
        </w:rPr>
        <w:t>申报参加护士执业资格考试的人员，应当在规定的期限内报名，并提交以下材料：</w:t>
      </w:r>
    </w:p>
    <w:p>
      <w:pPr>
        <w:overflowPunct w:val="0"/>
        <w:adjustRightInd w:val="0"/>
        <w:snapToGrid w:val="0"/>
        <w:spacing w:line="580" w:lineRule="exact"/>
        <w:ind w:firstLine="640" w:firstLineChars="200"/>
        <w:rPr>
          <w:rFonts w:eastAsia="仿宋" w:cs="Times New Roman"/>
          <w:color w:val="000000" w:themeColor="text1"/>
          <w:szCs w:val="32"/>
        </w:rPr>
      </w:pPr>
      <w:r>
        <w:rPr>
          <w:rFonts w:eastAsia="仿宋" w:cs="Times New Roman"/>
          <w:snapToGrid/>
          <w:color w:val="000000" w:themeColor="text1"/>
          <w:szCs w:val="32"/>
        </w:rPr>
        <w:t>（一）</w:t>
      </w:r>
      <w:r>
        <w:rPr>
          <w:rFonts w:eastAsia="仿宋" w:cs="Times New Roman"/>
          <w:color w:val="000000" w:themeColor="text1"/>
          <w:szCs w:val="32"/>
        </w:rPr>
        <w:t>单位审查并加盖单位公章的《202</w:t>
      </w:r>
      <w:r>
        <w:rPr>
          <w:rFonts w:hint="eastAsia" w:eastAsia="仿宋" w:cs="Times New Roman"/>
          <w:color w:val="000000" w:themeColor="text1"/>
          <w:szCs w:val="32"/>
          <w:lang w:val="en-US" w:eastAsia="zh-CN"/>
        </w:rPr>
        <w:t>5</w:t>
      </w:r>
      <w:r>
        <w:rPr>
          <w:rFonts w:eastAsia="仿宋" w:cs="Times New Roman"/>
          <w:color w:val="000000" w:themeColor="text1"/>
          <w:szCs w:val="32"/>
        </w:rPr>
        <w:t>年护士执业资格考试报名申请表》（从网上填报后下载打印）。如考生在打印报名表后对个人报考信息进行了修改，考生须重新打印并盖章，否则无法进行现场确认</w:t>
      </w:r>
      <w:r>
        <w:rPr>
          <w:rFonts w:eastAsia="仿宋" w:cs="Times New Roman"/>
          <w:snapToGrid/>
          <w:color w:val="000000" w:themeColor="text1"/>
          <w:szCs w:val="32"/>
        </w:rPr>
        <w:t>；</w:t>
      </w:r>
    </w:p>
    <w:p>
      <w:pPr>
        <w:widowControl w:val="0"/>
        <w:ind w:firstLine="640" w:firstLineChars="200"/>
        <w:rPr>
          <w:rFonts w:eastAsia="仿宋" w:cs="Times New Roman"/>
          <w:snapToGrid/>
          <w:color w:val="000000" w:themeColor="text1"/>
          <w:szCs w:val="32"/>
        </w:rPr>
      </w:pPr>
      <w:r>
        <w:rPr>
          <w:rFonts w:eastAsia="仿宋" w:cs="Times New Roman"/>
          <w:snapToGrid/>
          <w:color w:val="000000" w:themeColor="text1"/>
          <w:szCs w:val="32"/>
        </w:rPr>
        <w:t>（二）本人身份证（原件及</w:t>
      </w:r>
      <w:r>
        <w:rPr>
          <w:rFonts w:eastAsia="仿宋" w:cs="Times New Roman"/>
          <w:snapToGrid/>
          <w:szCs w:val="32"/>
        </w:rPr>
        <w:t>复印件</w:t>
      </w:r>
      <w:r>
        <w:rPr>
          <w:rFonts w:eastAsia="仿宋" w:cs="Times New Roman"/>
          <w:snapToGrid/>
          <w:color w:val="000000" w:themeColor="text1"/>
          <w:szCs w:val="32"/>
        </w:rPr>
        <w:t>）；</w:t>
      </w:r>
    </w:p>
    <w:p>
      <w:pPr>
        <w:widowControl w:val="0"/>
        <w:ind w:firstLine="640" w:firstLineChars="200"/>
        <w:rPr>
          <w:rFonts w:eastAsia="仿宋" w:cs="Times New Roman"/>
          <w:snapToGrid/>
          <w:color w:val="000000" w:themeColor="text1"/>
          <w:szCs w:val="32"/>
        </w:rPr>
      </w:pPr>
      <w:r>
        <w:rPr>
          <w:rFonts w:eastAsia="仿宋" w:cs="Times New Roman"/>
          <w:snapToGrid/>
          <w:color w:val="000000" w:themeColor="text1"/>
          <w:szCs w:val="32"/>
        </w:rPr>
        <w:t>（三）本人毕业证书（原件及复印件）。专科及以上学历需要同时提供《教育部学历证电子注册备案表》或国家教育行政部门指定的高等教育学历认证机构出具的《中国高等教育学历认证报告》，学历查询码有效期至202</w:t>
      </w:r>
      <w:r>
        <w:rPr>
          <w:rFonts w:hint="eastAsia" w:eastAsia="仿宋" w:cs="Times New Roman"/>
          <w:snapToGrid/>
          <w:color w:val="000000" w:themeColor="text1"/>
          <w:szCs w:val="32"/>
          <w:lang w:val="en-US" w:eastAsia="zh-CN"/>
        </w:rPr>
        <w:t>5</w:t>
      </w:r>
      <w:r>
        <w:rPr>
          <w:rFonts w:hint="eastAsia" w:eastAsia="仿宋" w:cs="Times New Roman"/>
          <w:snapToGrid/>
          <w:color w:val="000000" w:themeColor="text1"/>
          <w:szCs w:val="32"/>
        </w:rPr>
        <w:t>年1</w:t>
      </w:r>
      <w:r>
        <w:rPr>
          <w:rFonts w:eastAsia="仿宋" w:cs="Times New Roman"/>
          <w:snapToGrid/>
          <w:color w:val="000000" w:themeColor="text1"/>
          <w:szCs w:val="32"/>
        </w:rPr>
        <w:t>月2</w:t>
      </w:r>
      <w:r>
        <w:rPr>
          <w:rFonts w:hint="eastAsia" w:eastAsia="仿宋" w:cs="Times New Roman"/>
          <w:snapToGrid/>
          <w:color w:val="000000" w:themeColor="text1"/>
          <w:szCs w:val="32"/>
          <w:lang w:val="en-US" w:eastAsia="zh-CN"/>
        </w:rPr>
        <w:t>7</w:t>
      </w:r>
      <w:r>
        <w:rPr>
          <w:rFonts w:eastAsia="仿宋" w:cs="Times New Roman"/>
          <w:snapToGrid/>
          <w:color w:val="000000" w:themeColor="text1"/>
          <w:szCs w:val="32"/>
        </w:rPr>
        <w:t>日。</w:t>
      </w:r>
    </w:p>
    <w:p>
      <w:pPr>
        <w:widowControl w:val="0"/>
        <w:ind w:firstLine="640" w:firstLineChars="200"/>
        <w:rPr>
          <w:rFonts w:eastAsia="仿宋" w:cs="Times New Roman"/>
          <w:snapToGrid/>
          <w:color w:val="000000" w:themeColor="text1"/>
          <w:szCs w:val="32"/>
        </w:rPr>
      </w:pPr>
      <w:r>
        <w:rPr>
          <w:rFonts w:eastAsia="仿宋" w:cs="Times New Roman"/>
          <w:snapToGrid/>
          <w:color w:val="000000" w:themeColor="text1"/>
          <w:szCs w:val="32"/>
        </w:rPr>
        <w:t>（四）申请人为在校应届毕业生的，持学校相关证明集体办理报名手续。学校出具的证明应注明申报人入学时间、(拟)毕业时间、学制、学历</w:t>
      </w:r>
      <w:r>
        <w:rPr>
          <w:rFonts w:hint="eastAsia" w:ascii="仿宋" w:hAnsi="仿宋" w:eastAsia="仿宋" w:cs="仿宋"/>
          <w:snapToGrid/>
          <w:color w:val="000000" w:themeColor="text1"/>
          <w:szCs w:val="32"/>
        </w:rPr>
        <w:t>(需注明是否全日制学历)</w:t>
      </w:r>
      <w:r>
        <w:rPr>
          <w:rFonts w:eastAsia="仿宋" w:cs="Times New Roman"/>
          <w:snapToGrid/>
          <w:color w:val="000000" w:themeColor="text1"/>
          <w:szCs w:val="32"/>
        </w:rPr>
        <w:t>、所学专业、参加护理临床实习情况等。</w:t>
      </w:r>
    </w:p>
    <w:p>
      <w:pPr>
        <w:widowControl w:val="0"/>
        <w:ind w:firstLine="640" w:firstLineChars="200"/>
        <w:rPr>
          <w:rFonts w:eastAsia="仿宋" w:cs="Times New Roman"/>
          <w:snapToGrid/>
          <w:color w:val="000000" w:themeColor="text1"/>
          <w:szCs w:val="32"/>
        </w:rPr>
      </w:pPr>
      <w:r>
        <w:rPr>
          <w:rFonts w:hint="eastAsia" w:eastAsia="仿宋" w:cs="Times New Roman"/>
          <w:snapToGrid/>
          <w:color w:val="000000" w:themeColor="text1"/>
          <w:szCs w:val="32"/>
        </w:rPr>
        <w:t>（五）以上所有材料复印件均需加盖单位公章。</w:t>
      </w:r>
    </w:p>
    <w:p>
      <w:pPr>
        <w:widowControl w:val="0"/>
        <w:ind w:firstLine="640" w:firstLineChars="200"/>
        <w:rPr>
          <w:rFonts w:eastAsia="黑体" w:cs="Times New Roman"/>
          <w:bCs/>
          <w:snapToGrid/>
          <w:color w:val="000000" w:themeColor="text1"/>
          <w:szCs w:val="32"/>
        </w:rPr>
      </w:pPr>
      <w:r>
        <w:rPr>
          <w:rFonts w:eastAsia="黑体" w:cs="Times New Roman"/>
          <w:bCs/>
          <w:snapToGrid/>
          <w:color w:val="000000" w:themeColor="text1"/>
          <w:szCs w:val="32"/>
        </w:rPr>
        <w:t>五、报名收费</w:t>
      </w:r>
    </w:p>
    <w:p>
      <w:pPr>
        <w:widowControl w:val="0"/>
        <w:overflowPunct w:val="0"/>
        <w:snapToGrid w:val="0"/>
        <w:ind w:firstLine="480" w:firstLineChars="150"/>
        <w:rPr>
          <w:rFonts w:eastAsia="仿宋" w:cs="Times New Roman"/>
          <w:snapToGrid/>
          <w:color w:val="000000" w:themeColor="text1"/>
          <w:szCs w:val="32"/>
        </w:rPr>
      </w:pPr>
      <w:r>
        <w:rPr>
          <w:rFonts w:eastAsia="仿宋" w:cs="Times New Roman"/>
          <w:snapToGrid/>
          <w:color w:val="000000" w:themeColor="text1"/>
          <w:szCs w:val="32"/>
        </w:rPr>
        <w:t>（一）考试收费标准按照《四川省财政厅、四川省卫生健康委员会关于调整卫生专业技术资格考试暨护士执业资格考试收费分</w:t>
      </w:r>
      <w:r>
        <w:rPr>
          <w:rFonts w:hint="eastAsia" w:eastAsia="仿宋" w:cs="Times New Roman"/>
          <w:snapToGrid/>
          <w:color w:val="000000" w:themeColor="text1"/>
          <w:szCs w:val="32"/>
        </w:rPr>
        <w:t>成</w:t>
      </w:r>
      <w:r>
        <w:rPr>
          <w:rFonts w:eastAsia="仿宋" w:cs="Times New Roman"/>
          <w:snapToGrid/>
          <w:color w:val="000000" w:themeColor="text1"/>
          <w:szCs w:val="32"/>
        </w:rPr>
        <w:t>有关问题的通知》（川财社〔2019〕65号）相关规定执行，考试报名费：61元/人/科。</w:t>
      </w:r>
    </w:p>
    <w:p>
      <w:pPr>
        <w:widowControl w:val="0"/>
        <w:overflowPunct w:val="0"/>
        <w:snapToGrid w:val="0"/>
        <w:ind w:firstLine="480" w:firstLineChars="150"/>
        <w:rPr>
          <w:rFonts w:eastAsia="仿宋" w:cs="Times New Roman"/>
          <w:color w:val="000000" w:themeColor="text1"/>
          <w:szCs w:val="32"/>
        </w:rPr>
      </w:pPr>
      <w:r>
        <w:rPr>
          <w:rFonts w:eastAsia="仿宋" w:cs="Times New Roman"/>
          <w:color w:val="000000" w:themeColor="text1"/>
          <w:szCs w:val="32"/>
        </w:rPr>
        <w:t>（二）实行网上缴费，不接受现场缴费。考生在进行现场确认后，须于202</w:t>
      </w:r>
      <w:r>
        <w:rPr>
          <w:rFonts w:hint="eastAsia" w:eastAsia="仿宋" w:cs="Times New Roman"/>
          <w:color w:val="000000" w:themeColor="text1"/>
          <w:szCs w:val="32"/>
          <w:lang w:val="en-US" w:eastAsia="zh-CN"/>
        </w:rPr>
        <w:t>5</w:t>
      </w:r>
      <w:r>
        <w:rPr>
          <w:rFonts w:eastAsia="仿宋" w:cs="Times New Roman"/>
          <w:color w:val="000000" w:themeColor="text1"/>
          <w:szCs w:val="32"/>
        </w:rPr>
        <w:t>年</w:t>
      </w:r>
      <w:r>
        <w:rPr>
          <w:rFonts w:hint="eastAsia" w:eastAsia="仿宋" w:cs="Times New Roman"/>
          <w:color w:val="000000" w:themeColor="text1"/>
          <w:szCs w:val="32"/>
          <w:lang w:val="en-US" w:eastAsia="zh-CN"/>
        </w:rPr>
        <w:t>2</w:t>
      </w:r>
      <w:r>
        <w:rPr>
          <w:rFonts w:eastAsia="仿宋" w:cs="Times New Roman"/>
          <w:color w:val="000000" w:themeColor="text1"/>
          <w:szCs w:val="32"/>
        </w:rPr>
        <w:t>月</w:t>
      </w:r>
      <w:r>
        <w:rPr>
          <w:rFonts w:hint="eastAsia" w:eastAsia="仿宋" w:cs="Times New Roman"/>
          <w:color w:val="000000" w:themeColor="text1"/>
          <w:szCs w:val="32"/>
          <w:lang w:val="en-US" w:eastAsia="zh-CN"/>
        </w:rPr>
        <w:t>7</w:t>
      </w:r>
      <w:r>
        <w:rPr>
          <w:rFonts w:eastAsia="仿宋" w:cs="Times New Roman"/>
          <w:color w:val="000000" w:themeColor="text1"/>
          <w:szCs w:val="32"/>
        </w:rPr>
        <w:t>日</w:t>
      </w:r>
      <w:r>
        <w:rPr>
          <w:rFonts w:hint="eastAsia" w:eastAsia="仿宋" w:cs="Times New Roman"/>
          <w:color w:val="000000" w:themeColor="text1"/>
          <w:szCs w:val="32"/>
        </w:rPr>
        <w:t>-</w:t>
      </w:r>
      <w:r>
        <w:rPr>
          <w:rFonts w:eastAsia="仿宋" w:cs="Times New Roman"/>
          <w:color w:val="000000" w:themeColor="text1"/>
          <w:szCs w:val="32"/>
        </w:rPr>
        <w:t>2</w:t>
      </w:r>
      <w:r>
        <w:rPr>
          <w:rFonts w:hint="eastAsia" w:eastAsia="仿宋" w:cs="Times New Roman"/>
          <w:color w:val="000000" w:themeColor="text1"/>
          <w:szCs w:val="32"/>
        </w:rPr>
        <w:t>月</w:t>
      </w:r>
      <w:r>
        <w:rPr>
          <w:rFonts w:hint="eastAsia" w:eastAsia="仿宋" w:cs="Times New Roman"/>
          <w:color w:val="000000" w:themeColor="text1"/>
          <w:szCs w:val="32"/>
          <w:lang w:val="en-US" w:eastAsia="zh-CN"/>
        </w:rPr>
        <w:t>16</w:t>
      </w:r>
      <w:r>
        <w:rPr>
          <w:rFonts w:hint="eastAsia" w:eastAsia="仿宋" w:cs="Times New Roman"/>
          <w:color w:val="000000" w:themeColor="text1"/>
          <w:szCs w:val="32"/>
        </w:rPr>
        <w:t>日</w:t>
      </w:r>
      <w:r>
        <w:rPr>
          <w:rFonts w:eastAsia="仿宋" w:cs="Times New Roman"/>
          <w:color w:val="000000" w:themeColor="text1"/>
          <w:szCs w:val="32"/>
        </w:rPr>
        <w:t>期间自行完成网上缴费，逾期未缴费的考生视为放弃</w:t>
      </w:r>
      <w:r>
        <w:rPr>
          <w:rFonts w:hint="eastAsia" w:eastAsia="仿宋" w:cs="Times New Roman"/>
          <w:color w:val="000000" w:themeColor="text1"/>
          <w:szCs w:val="32"/>
          <w:lang w:eastAsia="zh-CN"/>
        </w:rPr>
        <w:t>考试</w:t>
      </w:r>
      <w:r>
        <w:rPr>
          <w:rFonts w:eastAsia="仿宋" w:cs="Times New Roman"/>
          <w:color w:val="000000" w:themeColor="text1"/>
          <w:szCs w:val="32"/>
        </w:rPr>
        <w:t>。</w:t>
      </w:r>
    </w:p>
    <w:p>
      <w:pPr>
        <w:widowControl w:val="0"/>
        <w:ind w:firstLine="640" w:firstLineChars="200"/>
        <w:rPr>
          <w:rFonts w:eastAsia="黑体" w:cs="Times New Roman"/>
          <w:bCs/>
          <w:snapToGrid/>
          <w:color w:val="000000" w:themeColor="text1"/>
          <w:szCs w:val="32"/>
        </w:rPr>
      </w:pPr>
      <w:r>
        <w:rPr>
          <w:rFonts w:eastAsia="黑体" w:cs="Times New Roman"/>
          <w:bCs/>
          <w:snapToGrid/>
          <w:color w:val="000000" w:themeColor="text1"/>
          <w:szCs w:val="32"/>
        </w:rPr>
        <w:t>六、考生准考证打印</w:t>
      </w:r>
    </w:p>
    <w:p>
      <w:pPr>
        <w:widowControl w:val="0"/>
        <w:overflowPunct w:val="0"/>
        <w:snapToGrid w:val="0"/>
        <w:ind w:firstLine="640" w:firstLineChars="200"/>
        <w:rPr>
          <w:rFonts w:eastAsia="仿宋" w:cs="Times New Roman"/>
          <w:snapToGrid/>
          <w:color w:val="000000" w:themeColor="text1"/>
          <w:szCs w:val="32"/>
        </w:rPr>
      </w:pPr>
      <w:r>
        <w:rPr>
          <w:rFonts w:eastAsia="仿宋" w:cs="Times New Roman"/>
          <w:snapToGrid/>
          <w:color w:val="000000" w:themeColor="text1"/>
          <w:szCs w:val="32"/>
        </w:rPr>
        <w:t>202</w:t>
      </w:r>
      <w:r>
        <w:rPr>
          <w:rFonts w:hint="eastAsia" w:eastAsia="仿宋" w:cs="Times New Roman"/>
          <w:snapToGrid/>
          <w:color w:val="000000" w:themeColor="text1"/>
          <w:szCs w:val="32"/>
          <w:lang w:val="en-US" w:eastAsia="zh-CN"/>
        </w:rPr>
        <w:t>5</w:t>
      </w:r>
      <w:r>
        <w:rPr>
          <w:rFonts w:eastAsia="仿宋" w:cs="Times New Roman"/>
          <w:snapToGrid/>
          <w:color w:val="000000" w:themeColor="text1"/>
          <w:szCs w:val="32"/>
        </w:rPr>
        <w:t>年4月16</w:t>
      </w:r>
      <w:r>
        <w:rPr>
          <w:rFonts w:hint="eastAsia" w:eastAsia="仿宋" w:cs="Times New Roman"/>
          <w:snapToGrid/>
          <w:color w:val="000000" w:themeColor="text1"/>
          <w:szCs w:val="32"/>
          <w:lang w:val="en-US" w:eastAsia="zh-CN"/>
        </w:rPr>
        <w:t>日</w:t>
      </w:r>
      <w:r>
        <w:rPr>
          <w:rFonts w:eastAsia="仿宋" w:cs="Times New Roman"/>
          <w:snapToGrid/>
          <w:color w:val="000000" w:themeColor="text1"/>
          <w:szCs w:val="32"/>
        </w:rPr>
        <w:t>-</w:t>
      </w:r>
      <w:r>
        <w:rPr>
          <w:rFonts w:hint="eastAsia" w:eastAsia="仿宋" w:cs="Times New Roman"/>
          <w:snapToGrid/>
          <w:color w:val="000000" w:themeColor="text1"/>
          <w:szCs w:val="32"/>
          <w:lang w:val="en-US" w:eastAsia="zh-CN"/>
        </w:rPr>
        <w:t>4月</w:t>
      </w:r>
      <w:r>
        <w:rPr>
          <w:rFonts w:eastAsia="仿宋" w:cs="Times New Roman"/>
          <w:snapToGrid/>
          <w:color w:val="000000" w:themeColor="text1"/>
          <w:szCs w:val="32"/>
        </w:rPr>
        <w:t>2</w:t>
      </w:r>
      <w:r>
        <w:rPr>
          <w:rFonts w:hint="eastAsia" w:eastAsia="仿宋" w:cs="Times New Roman"/>
          <w:snapToGrid/>
          <w:color w:val="000000" w:themeColor="text1"/>
          <w:szCs w:val="32"/>
          <w:lang w:val="en-US" w:eastAsia="zh-CN"/>
        </w:rPr>
        <w:t>7</w:t>
      </w:r>
      <w:r>
        <w:rPr>
          <w:rFonts w:eastAsia="仿宋" w:cs="Times New Roman"/>
          <w:snapToGrid/>
          <w:color w:val="000000" w:themeColor="text1"/>
          <w:szCs w:val="32"/>
        </w:rPr>
        <w:t>日期间，考生可登录国家卫生健康委人才交流服务中心官网</w:t>
      </w:r>
      <w:r>
        <w:fldChar w:fldCharType="begin"/>
      </w:r>
      <w:r>
        <w:instrText xml:space="preserve"> HYPERLINK "http://www．21wecan.com）自行打印准考证，截止时间为2017" </w:instrText>
      </w:r>
      <w:r>
        <w:fldChar w:fldCharType="separate"/>
      </w:r>
      <w:r>
        <w:rPr>
          <w:rFonts w:hint="eastAsia" w:eastAsia="仿宋" w:cs="Times New Roman"/>
          <w:snapToGrid/>
          <w:color w:val="000000" w:themeColor="text1"/>
          <w:szCs w:val="32"/>
        </w:rPr>
        <w:t>打印准考证</w:t>
      </w:r>
      <w:r>
        <w:rPr>
          <w:rFonts w:hint="eastAsia" w:eastAsia="仿宋" w:cs="Times New Roman"/>
          <w:snapToGrid/>
          <w:color w:val="000000" w:themeColor="text1"/>
          <w:szCs w:val="32"/>
        </w:rPr>
        <w:fldChar w:fldCharType="end"/>
      </w:r>
      <w:r>
        <w:rPr>
          <w:rFonts w:eastAsia="仿宋" w:cs="Times New Roman"/>
          <w:snapToGrid/>
          <w:color w:val="000000" w:themeColor="text1"/>
          <w:szCs w:val="32"/>
        </w:rPr>
        <w:t>。</w:t>
      </w:r>
    </w:p>
    <w:p>
      <w:pPr>
        <w:numPr>
          <w:ilvl w:val="0"/>
          <w:numId w:val="1"/>
        </w:numPr>
        <w:ind w:firstLine="640" w:firstLineChars="200"/>
        <w:rPr>
          <w:rFonts w:eastAsia="黑体" w:cs="Times New Roman"/>
          <w:bCs/>
          <w:szCs w:val="32"/>
        </w:rPr>
      </w:pPr>
      <w:r>
        <w:rPr>
          <w:rFonts w:eastAsia="黑体" w:cs="Times New Roman"/>
          <w:bCs/>
          <w:snapToGrid/>
          <w:color w:val="000000" w:themeColor="text1"/>
          <w:szCs w:val="32"/>
        </w:rPr>
        <w:t>工作要求</w:t>
      </w:r>
    </w:p>
    <w:p>
      <w:pPr>
        <w:ind w:firstLine="640" w:firstLineChars="200"/>
        <w:rPr>
          <w:rFonts w:eastAsia="仿宋" w:cs="Times New Roman"/>
          <w:color w:val="000000" w:themeColor="text1"/>
          <w:szCs w:val="32"/>
        </w:rPr>
      </w:pPr>
      <w:r>
        <w:rPr>
          <w:rFonts w:eastAsia="仿宋" w:cs="Times New Roman"/>
          <w:color w:val="000000" w:themeColor="text1"/>
          <w:szCs w:val="32"/>
        </w:rPr>
        <w:t>（</w:t>
      </w:r>
      <w:r>
        <w:rPr>
          <w:rFonts w:hint="eastAsia" w:eastAsia="仿宋" w:cs="Times New Roman"/>
          <w:color w:val="000000" w:themeColor="text1"/>
          <w:szCs w:val="32"/>
        </w:rPr>
        <w:t>一</w:t>
      </w:r>
      <w:r>
        <w:rPr>
          <w:rFonts w:eastAsia="仿宋" w:cs="Times New Roman"/>
          <w:color w:val="000000" w:themeColor="text1"/>
          <w:szCs w:val="32"/>
        </w:rPr>
        <w:t>）本次全国护士执业资格考试成都考点工作由成都市卫生健康人才交流中心具体组织实施，各区（市）县</w:t>
      </w:r>
      <w:r>
        <w:rPr>
          <w:rFonts w:hint="eastAsia" w:eastAsia="仿宋" w:cs="Times New Roman"/>
          <w:color w:val="000000" w:themeColor="text1"/>
          <w:szCs w:val="32"/>
          <w:lang w:eastAsia="zh-CN"/>
        </w:rPr>
        <w:t>卫健局</w:t>
      </w:r>
      <w:r>
        <w:rPr>
          <w:rFonts w:eastAsia="仿宋" w:cs="Times New Roman"/>
          <w:color w:val="000000" w:themeColor="text1"/>
          <w:szCs w:val="32"/>
        </w:rPr>
        <w:t>要加强联系，严格按照考试工作内容和时间要求，周密安排，落实责任，做好组织部署工作。</w:t>
      </w:r>
    </w:p>
    <w:p>
      <w:pPr>
        <w:ind w:firstLine="640" w:firstLineChars="200"/>
        <w:rPr>
          <w:rFonts w:eastAsia="仿宋" w:cs="Times New Roman"/>
          <w:color w:val="000000" w:themeColor="text1"/>
          <w:szCs w:val="32"/>
        </w:rPr>
      </w:pPr>
      <w:r>
        <w:rPr>
          <w:rFonts w:eastAsia="仿宋" w:cs="Times New Roman"/>
          <w:color w:val="000000" w:themeColor="text1"/>
          <w:szCs w:val="32"/>
        </w:rPr>
        <w:t>（</w:t>
      </w:r>
      <w:r>
        <w:rPr>
          <w:rFonts w:hint="eastAsia" w:eastAsia="仿宋" w:cs="Times New Roman"/>
          <w:color w:val="000000" w:themeColor="text1"/>
          <w:szCs w:val="32"/>
        </w:rPr>
        <w:t>二</w:t>
      </w:r>
      <w:r>
        <w:rPr>
          <w:rFonts w:eastAsia="仿宋" w:cs="Times New Roman"/>
          <w:color w:val="000000" w:themeColor="text1"/>
          <w:szCs w:val="32"/>
        </w:rPr>
        <w:t>）要加强对报考考生政策、报名程序的宣传和组织。加大对《专业技术人员资格考试违纪违规行为处理规定》（人力资源和社会保障部令第31号）的宣传力度，对考生进行遵纪守法教育。各报名点要在现场公示考试纪律，使每个考生了解考试纪律规定，充分认识违纪违规行为给个人和社会带来的危害。</w:t>
      </w:r>
    </w:p>
    <w:p>
      <w:pPr>
        <w:ind w:firstLine="640" w:firstLineChars="200"/>
        <w:rPr>
          <w:rFonts w:eastAsia="仿宋" w:cs="Times New Roman"/>
          <w:color w:val="000000" w:themeColor="text1"/>
          <w:szCs w:val="32"/>
        </w:rPr>
      </w:pPr>
      <w:r>
        <w:rPr>
          <w:rFonts w:eastAsia="仿宋" w:cs="Times New Roman"/>
          <w:color w:val="000000" w:themeColor="text1"/>
          <w:szCs w:val="32"/>
        </w:rPr>
        <w:t>（</w:t>
      </w:r>
      <w:r>
        <w:rPr>
          <w:rFonts w:hint="eastAsia" w:eastAsia="仿宋" w:cs="Times New Roman"/>
          <w:color w:val="000000" w:themeColor="text1"/>
          <w:szCs w:val="32"/>
        </w:rPr>
        <w:t>三</w:t>
      </w:r>
      <w:r>
        <w:rPr>
          <w:rFonts w:eastAsia="仿宋" w:cs="Times New Roman"/>
          <w:color w:val="000000" w:themeColor="text1"/>
          <w:szCs w:val="32"/>
        </w:rPr>
        <w:t>）各区（市）县、各单位要严格按照</w:t>
      </w:r>
      <w:r>
        <w:rPr>
          <w:rFonts w:hint="eastAsia" w:eastAsia="仿宋" w:cs="Times New Roman"/>
          <w:color w:val="000000" w:themeColor="text1"/>
          <w:szCs w:val="32"/>
        </w:rPr>
        <w:t>《</w:t>
      </w:r>
      <w:r>
        <w:rPr>
          <w:rFonts w:hint="eastAsia" w:ascii="仿宋" w:hAnsi="仿宋" w:eastAsia="仿宋" w:cs="微软雅黑"/>
          <w:snapToGrid/>
          <w:kern w:val="0"/>
          <w:szCs w:val="32"/>
          <w:shd w:val="clear" w:color="auto" w:fill="FFFFFF"/>
        </w:rPr>
        <w:t>护士条例》和《护士执业资格考试办法》</w:t>
      </w:r>
      <w:r>
        <w:rPr>
          <w:rFonts w:eastAsia="仿宋" w:cs="Times New Roman"/>
          <w:color w:val="000000" w:themeColor="text1"/>
          <w:szCs w:val="32"/>
        </w:rPr>
        <w:t>的规定进行资格初审，不得擅自放宽报考条件</w:t>
      </w:r>
      <w:r>
        <w:rPr>
          <w:rFonts w:hint="eastAsia" w:eastAsia="仿宋" w:cs="Times New Roman"/>
          <w:color w:val="000000" w:themeColor="text1"/>
          <w:szCs w:val="32"/>
          <w:lang w:eastAsia="zh-CN"/>
        </w:rPr>
        <w:t>，</w:t>
      </w:r>
      <w:r>
        <w:rPr>
          <w:rFonts w:hint="eastAsia" w:eastAsia="仿宋" w:cs="Times New Roman"/>
          <w:color w:val="000000" w:themeColor="text1"/>
          <w:szCs w:val="32"/>
          <w:lang w:val="en-US" w:eastAsia="zh-CN"/>
        </w:rPr>
        <w:t>对不符合报名条件的人员，严禁参加考试</w:t>
      </w:r>
      <w:r>
        <w:rPr>
          <w:rFonts w:eastAsia="仿宋" w:cs="Times New Roman"/>
          <w:color w:val="000000" w:themeColor="text1"/>
          <w:szCs w:val="32"/>
        </w:rPr>
        <w:t>。工作人员有违纪行为的，一律按照《专业技术人员资格考试违纪违规行为处理规定》（人力资源和社会保障部令第31号）进行责任追究，严肃处理。</w:t>
      </w:r>
    </w:p>
    <w:p>
      <w:pPr>
        <w:widowControl w:val="0"/>
        <w:overflowPunct w:val="0"/>
        <w:snapToGrid w:val="0"/>
        <w:ind w:firstLine="640" w:firstLineChars="200"/>
        <w:rPr>
          <w:rFonts w:eastAsia="仿宋" w:cs="Times New Roman"/>
          <w:color w:val="000000" w:themeColor="text1"/>
          <w:szCs w:val="32"/>
        </w:rPr>
      </w:pPr>
    </w:p>
    <w:p>
      <w:pPr>
        <w:widowControl w:val="0"/>
        <w:overflowPunct w:val="0"/>
        <w:snapToGrid w:val="0"/>
        <w:ind w:firstLine="640" w:firstLineChars="200"/>
        <w:rPr>
          <w:rFonts w:eastAsia="仿宋" w:cs="Times New Roman"/>
          <w:color w:val="000000" w:themeColor="text1"/>
          <w:szCs w:val="32"/>
        </w:rPr>
      </w:pPr>
    </w:p>
    <w:p>
      <w:pPr>
        <w:ind w:left="1920" w:leftChars="200" w:hanging="1280" w:hangingChars="400"/>
        <w:rPr>
          <w:rFonts w:eastAsia="仿宋" w:cs="Times New Roman"/>
          <w:color w:val="000000" w:themeColor="text1"/>
          <w:szCs w:val="32"/>
        </w:rPr>
      </w:pPr>
      <w:r>
        <w:rPr>
          <w:rFonts w:eastAsia="仿宋" w:cs="Times New Roman"/>
          <w:color w:val="000000" w:themeColor="text1"/>
          <w:szCs w:val="32"/>
        </w:rPr>
        <w:t>附件：1．四川省卫生健康委员会</w:t>
      </w:r>
      <w:r>
        <w:rPr>
          <w:rFonts w:hint="eastAsia" w:eastAsia="仿宋" w:cs="Times New Roman"/>
          <w:color w:val="000000" w:themeColor="text1"/>
          <w:szCs w:val="32"/>
        </w:rPr>
        <w:t>办公室</w:t>
      </w:r>
      <w:r>
        <w:rPr>
          <w:rFonts w:eastAsia="仿宋" w:cs="Times New Roman"/>
          <w:color w:val="000000" w:themeColor="text1"/>
          <w:szCs w:val="32"/>
        </w:rPr>
        <w:t>关于做好202</w:t>
      </w:r>
      <w:r>
        <w:rPr>
          <w:rFonts w:hint="eastAsia" w:eastAsia="仿宋" w:cs="Times New Roman"/>
          <w:color w:val="000000" w:themeColor="text1"/>
          <w:szCs w:val="32"/>
          <w:lang w:val="en-US" w:eastAsia="zh-CN"/>
        </w:rPr>
        <w:t>5</w:t>
      </w:r>
      <w:r>
        <w:rPr>
          <w:rFonts w:eastAsia="仿宋" w:cs="Times New Roman"/>
          <w:color w:val="000000" w:themeColor="text1"/>
          <w:szCs w:val="32"/>
        </w:rPr>
        <w:t>年护士执业资格考试工作的通知</w:t>
      </w:r>
    </w:p>
    <w:p>
      <w:pPr>
        <w:ind w:firstLine="1600" w:firstLineChars="500"/>
        <w:rPr>
          <w:rFonts w:eastAsia="仿宋" w:cs="Times New Roman"/>
          <w:color w:val="000000" w:themeColor="text1"/>
          <w:szCs w:val="32"/>
        </w:rPr>
      </w:pPr>
      <w:bookmarkStart w:id="0" w:name="_GoBack"/>
      <w:bookmarkEnd w:id="0"/>
      <w:r>
        <w:rPr>
          <w:rFonts w:hint="eastAsia" w:eastAsia="仿宋" w:cs="Times New Roman"/>
          <w:color w:val="000000" w:themeColor="text1"/>
          <w:szCs w:val="32"/>
          <w:lang w:val="en-US" w:eastAsia="zh-CN"/>
        </w:rPr>
        <w:t>2</w:t>
      </w:r>
      <w:r>
        <w:rPr>
          <w:rFonts w:eastAsia="仿宋" w:cs="Times New Roman"/>
          <w:color w:val="000000" w:themeColor="text1"/>
          <w:szCs w:val="32"/>
        </w:rPr>
        <w:t>．成都市202</w:t>
      </w:r>
      <w:r>
        <w:rPr>
          <w:rFonts w:hint="eastAsia" w:eastAsia="仿宋" w:cs="Times New Roman"/>
          <w:color w:val="000000" w:themeColor="text1"/>
          <w:szCs w:val="32"/>
          <w:lang w:val="en-US" w:eastAsia="zh-CN"/>
        </w:rPr>
        <w:t>5</w:t>
      </w:r>
      <w:r>
        <w:rPr>
          <w:rFonts w:eastAsia="仿宋" w:cs="Times New Roman"/>
          <w:color w:val="000000" w:themeColor="text1"/>
          <w:szCs w:val="32"/>
        </w:rPr>
        <w:t>年护士执业资格考试报名花名册</w:t>
      </w:r>
    </w:p>
    <w:p>
      <w:pPr>
        <w:ind w:firstLine="1600" w:firstLineChars="500"/>
        <w:rPr>
          <w:rFonts w:eastAsia="仿宋" w:cs="Times New Roman"/>
          <w:color w:val="000000" w:themeColor="text1"/>
          <w:szCs w:val="32"/>
        </w:rPr>
      </w:pPr>
      <w:r>
        <w:rPr>
          <w:rFonts w:hint="eastAsia" w:eastAsia="仿宋" w:cs="Times New Roman"/>
          <w:color w:val="000000" w:themeColor="text1"/>
          <w:szCs w:val="32"/>
          <w:lang w:val="en-US" w:eastAsia="zh-CN"/>
        </w:rPr>
        <w:t>3</w:t>
      </w:r>
      <w:r>
        <w:rPr>
          <w:rFonts w:eastAsia="仿宋" w:cs="Times New Roman"/>
          <w:color w:val="000000" w:themeColor="text1"/>
          <w:szCs w:val="32"/>
        </w:rPr>
        <w:t>．成都考点202</w:t>
      </w:r>
      <w:r>
        <w:rPr>
          <w:rFonts w:hint="eastAsia" w:eastAsia="仿宋" w:cs="Times New Roman"/>
          <w:color w:val="000000" w:themeColor="text1"/>
          <w:szCs w:val="32"/>
          <w:lang w:val="en-US" w:eastAsia="zh-CN"/>
        </w:rPr>
        <w:t>5</w:t>
      </w:r>
      <w:r>
        <w:rPr>
          <w:rFonts w:eastAsia="仿宋" w:cs="Times New Roman"/>
          <w:color w:val="000000" w:themeColor="text1"/>
          <w:szCs w:val="32"/>
        </w:rPr>
        <w:t>年护士执业资格考试确认时间安排表</w:t>
      </w:r>
    </w:p>
    <w:p>
      <w:pPr>
        <w:spacing w:line="560" w:lineRule="exact"/>
        <w:ind w:right="640"/>
        <w:rPr>
          <w:rFonts w:eastAsia="仿宋" w:cs="Times New Roman"/>
          <w:szCs w:val="32"/>
        </w:rPr>
      </w:pPr>
    </w:p>
    <w:p>
      <w:pPr>
        <w:spacing w:line="560" w:lineRule="exact"/>
        <w:ind w:right="640"/>
        <w:rPr>
          <w:rFonts w:eastAsia="仿宋" w:cs="Times New Roman"/>
          <w:szCs w:val="32"/>
        </w:rPr>
      </w:pPr>
    </w:p>
    <w:p>
      <w:pPr>
        <w:widowControl w:val="0"/>
        <w:ind w:firstLine="1600" w:firstLineChars="500"/>
        <w:jc w:val="right"/>
        <w:rPr>
          <w:rFonts w:eastAsia="仿宋" w:cs="Times New Roman"/>
          <w:snapToGrid/>
          <w:color w:val="000000" w:themeColor="text1"/>
          <w:szCs w:val="32"/>
        </w:rPr>
      </w:pPr>
      <w:r>
        <w:rPr>
          <w:rFonts w:eastAsia="仿宋" w:cs="Times New Roman"/>
          <w:snapToGrid/>
          <w:color w:val="000000" w:themeColor="text1"/>
          <w:szCs w:val="32"/>
        </w:rPr>
        <w:t>成都市卫生健康委员会</w:t>
      </w:r>
    </w:p>
    <w:p>
      <w:pPr>
        <w:widowControl w:val="0"/>
        <w:wordWrap w:val="0"/>
        <w:ind w:firstLine="1280" w:firstLineChars="400"/>
        <w:jc w:val="right"/>
        <w:rPr>
          <w:rFonts w:eastAsia="仿宋" w:cs="Times New Roman"/>
          <w:snapToGrid/>
          <w:color w:val="000000" w:themeColor="text1"/>
          <w:szCs w:val="32"/>
        </w:rPr>
      </w:pPr>
      <w:r>
        <w:rPr>
          <w:rFonts w:eastAsia="仿宋" w:cs="Times New Roman"/>
          <w:snapToGrid/>
          <w:color w:val="000000" w:themeColor="text1"/>
          <w:szCs w:val="32"/>
        </w:rPr>
        <w:t>202</w:t>
      </w:r>
      <w:r>
        <w:rPr>
          <w:rFonts w:hint="eastAsia" w:eastAsia="仿宋" w:cs="Times New Roman"/>
          <w:snapToGrid/>
          <w:color w:val="000000" w:themeColor="text1"/>
          <w:szCs w:val="32"/>
          <w:lang w:val="en-US" w:eastAsia="zh-CN"/>
        </w:rPr>
        <w:t>4</w:t>
      </w:r>
      <w:r>
        <w:rPr>
          <w:rFonts w:eastAsia="仿宋" w:cs="Times New Roman"/>
          <w:snapToGrid/>
          <w:color w:val="000000" w:themeColor="text1"/>
          <w:szCs w:val="32"/>
        </w:rPr>
        <w:t>年11月2</w:t>
      </w:r>
      <w:r>
        <w:rPr>
          <w:rFonts w:hint="eastAsia" w:eastAsia="仿宋" w:cs="Times New Roman"/>
          <w:snapToGrid/>
          <w:color w:val="000000" w:themeColor="text1"/>
          <w:szCs w:val="32"/>
          <w:lang w:val="en-US" w:eastAsia="zh-CN"/>
        </w:rPr>
        <w:t>1</w:t>
      </w:r>
      <w:r>
        <w:rPr>
          <w:rFonts w:eastAsia="仿宋" w:cs="Times New Roman"/>
          <w:snapToGrid/>
          <w:color w:val="000000" w:themeColor="text1"/>
          <w:szCs w:val="32"/>
        </w:rPr>
        <w:t>日</w:t>
      </w:r>
      <w:r>
        <w:rPr>
          <w:rFonts w:hint="eastAsia" w:eastAsia="仿宋" w:cs="Times New Roman"/>
          <w:snapToGrid/>
          <w:color w:val="000000" w:themeColor="text1"/>
          <w:szCs w:val="32"/>
        </w:rPr>
        <w:t xml:space="preserve">  </w:t>
      </w:r>
    </w:p>
    <w:p>
      <w:pPr>
        <w:widowControl w:val="0"/>
        <w:jc w:val="left"/>
        <w:rPr>
          <w:rFonts w:eastAsia="仿宋" w:cs="Times New Roman"/>
          <w:snapToGrid/>
          <w:color w:val="000000" w:themeColor="text1"/>
          <w:szCs w:val="32"/>
        </w:rPr>
      </w:pPr>
    </w:p>
    <w:p>
      <w:pPr>
        <w:widowControl w:val="0"/>
        <w:jc w:val="left"/>
        <w:rPr>
          <w:rFonts w:eastAsia="仿宋" w:cs="Times New Roman"/>
          <w:snapToGrid/>
          <w:color w:val="000000" w:themeColor="text1"/>
          <w:szCs w:val="32"/>
        </w:rPr>
      </w:pPr>
    </w:p>
    <w:p>
      <w:pPr>
        <w:widowControl w:val="0"/>
        <w:jc w:val="left"/>
        <w:rPr>
          <w:rFonts w:eastAsia="仿宋" w:cs="Times New Roman"/>
          <w:snapToGrid/>
          <w:color w:val="000000" w:themeColor="text1"/>
          <w:szCs w:val="32"/>
        </w:rPr>
      </w:pPr>
    </w:p>
    <w:p>
      <w:pPr>
        <w:widowControl w:val="0"/>
        <w:jc w:val="left"/>
        <w:rPr>
          <w:rFonts w:hint="eastAsia" w:eastAsia="仿宋" w:cs="Times New Roman"/>
          <w:snapToGrid/>
          <w:color w:val="000000" w:themeColor="text1"/>
          <w:szCs w:val="32"/>
          <w:lang w:val="en-US" w:eastAsia="zh-CN"/>
        </w:rPr>
      </w:pPr>
    </w:p>
    <w:p>
      <w:pPr>
        <w:widowControl w:val="0"/>
        <w:jc w:val="left"/>
        <w:rPr>
          <w:rFonts w:hint="eastAsia" w:eastAsia="仿宋" w:cs="Times New Roman"/>
          <w:snapToGrid/>
          <w:color w:val="000000" w:themeColor="text1"/>
          <w:szCs w:val="32"/>
          <w:lang w:val="en-US" w:eastAsia="zh-CN"/>
        </w:rPr>
      </w:pPr>
    </w:p>
    <w:p>
      <w:pPr>
        <w:widowControl w:val="0"/>
        <w:jc w:val="left"/>
        <w:rPr>
          <w:rFonts w:hint="eastAsia" w:eastAsia="仿宋" w:cs="Times New Roman"/>
          <w:snapToGrid/>
          <w:color w:val="000000" w:themeColor="text1"/>
          <w:szCs w:val="32"/>
          <w:lang w:val="en-US" w:eastAsia="zh-CN"/>
        </w:rPr>
      </w:pPr>
      <w:r>
        <w:rPr>
          <w:rFonts w:hint="eastAsia" w:eastAsia="仿宋" w:cs="Times New Roman"/>
          <w:snapToGrid/>
          <w:color w:val="000000" w:themeColor="text1"/>
          <w:szCs w:val="32"/>
          <w:lang w:val="en-US" w:eastAsia="zh-CN"/>
        </w:rPr>
        <w:t>附件1</w:t>
      </w:r>
    </w:p>
    <w:p>
      <w:pPr>
        <w:bidi w:val="0"/>
        <w:jc w:val="left"/>
        <w:rPr>
          <w:rFonts w:hint="eastAsia"/>
          <w:lang w:val="en-US" w:eastAsia="zh-CN"/>
        </w:rPr>
      </w:pPr>
    </w:p>
    <w:p>
      <w:pPr>
        <w:widowControl w:val="0"/>
        <w:spacing w:line="240" w:lineRule="auto"/>
        <w:jc w:val="center"/>
      </w:pPr>
      <w:r>
        <w:drawing>
          <wp:inline distT="0" distB="0" distL="114300" distR="114300">
            <wp:extent cx="5600700" cy="7129780"/>
            <wp:effectExtent l="0" t="0" r="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600700" cy="7129780"/>
                    </a:xfrm>
                    <a:prstGeom prst="rect">
                      <a:avLst/>
                    </a:prstGeom>
                  </pic:spPr>
                </pic:pic>
              </a:graphicData>
            </a:graphic>
          </wp:inline>
        </w:drawing>
      </w:r>
    </w:p>
    <w:p>
      <w:pPr>
        <w:widowControl w:val="0"/>
        <w:spacing w:line="240" w:lineRule="auto"/>
        <w:jc w:val="center"/>
      </w:pPr>
      <w:r>
        <w:drawing>
          <wp:inline distT="0" distB="0" distL="114300" distR="114300">
            <wp:extent cx="5505450" cy="7562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505450" cy="7562850"/>
                    </a:xfrm>
                    <a:prstGeom prst="rect">
                      <a:avLst/>
                    </a:prstGeom>
                    <a:noFill/>
                    <a:ln>
                      <a:noFill/>
                    </a:ln>
                  </pic:spPr>
                </pic:pic>
              </a:graphicData>
            </a:graphic>
          </wp:inline>
        </w:drawing>
      </w:r>
    </w:p>
    <w:p>
      <w:pPr>
        <w:widowControl w:val="0"/>
        <w:spacing w:line="240" w:lineRule="auto"/>
        <w:jc w:val="center"/>
      </w:pPr>
    </w:p>
    <w:p>
      <w:pPr>
        <w:widowControl w:val="0"/>
        <w:spacing w:line="240" w:lineRule="auto"/>
        <w:jc w:val="center"/>
      </w:pPr>
      <w:r>
        <w:drawing>
          <wp:inline distT="0" distB="0" distL="114300" distR="114300">
            <wp:extent cx="5495925" cy="74485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495925" cy="7448550"/>
                    </a:xfrm>
                    <a:prstGeom prst="rect">
                      <a:avLst/>
                    </a:prstGeom>
                    <a:noFill/>
                    <a:ln>
                      <a:noFill/>
                    </a:ln>
                  </pic:spPr>
                </pic:pic>
              </a:graphicData>
            </a:graphic>
          </wp:inline>
        </w:drawing>
      </w:r>
    </w:p>
    <w:p>
      <w:pPr>
        <w:widowControl w:val="0"/>
        <w:spacing w:line="240" w:lineRule="auto"/>
        <w:jc w:val="center"/>
      </w:pPr>
    </w:p>
    <w:p>
      <w:pPr>
        <w:widowControl w:val="0"/>
        <w:spacing w:line="240" w:lineRule="auto"/>
        <w:jc w:val="center"/>
      </w:pPr>
      <w:r>
        <w:drawing>
          <wp:inline distT="0" distB="0" distL="114300" distR="114300">
            <wp:extent cx="5476875" cy="720090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5476875" cy="7200900"/>
                    </a:xfrm>
                    <a:prstGeom prst="rect">
                      <a:avLst/>
                    </a:prstGeom>
                    <a:noFill/>
                    <a:ln>
                      <a:noFill/>
                    </a:ln>
                  </pic:spPr>
                </pic:pic>
              </a:graphicData>
            </a:graphic>
          </wp:inline>
        </w:drawing>
      </w:r>
    </w:p>
    <w:p>
      <w:pPr>
        <w:widowControl w:val="0"/>
        <w:spacing w:line="240" w:lineRule="auto"/>
        <w:jc w:val="center"/>
      </w:pPr>
    </w:p>
    <w:p>
      <w:pPr>
        <w:widowControl w:val="0"/>
        <w:spacing w:line="240" w:lineRule="auto"/>
        <w:jc w:val="center"/>
      </w:pPr>
    </w:p>
    <w:p>
      <w:pPr>
        <w:widowControl w:val="0"/>
        <w:spacing w:line="240" w:lineRule="auto"/>
        <w:jc w:val="center"/>
      </w:pPr>
    </w:p>
    <w:p>
      <w:pPr>
        <w:widowControl w:val="0"/>
        <w:spacing w:line="240" w:lineRule="auto"/>
        <w:jc w:val="both"/>
      </w:pPr>
      <w:r>
        <w:drawing>
          <wp:inline distT="0" distB="0" distL="114300" distR="114300">
            <wp:extent cx="5342890" cy="7600950"/>
            <wp:effectExtent l="0" t="0" r="1016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5342890" cy="7600950"/>
                    </a:xfrm>
                    <a:prstGeom prst="rect">
                      <a:avLst/>
                    </a:prstGeom>
                    <a:noFill/>
                    <a:ln>
                      <a:noFill/>
                    </a:ln>
                  </pic:spPr>
                </pic:pic>
              </a:graphicData>
            </a:graphic>
          </wp:inline>
        </w:drawing>
      </w:r>
    </w:p>
    <w:p>
      <w:pPr>
        <w:widowControl w:val="0"/>
        <w:spacing w:line="240" w:lineRule="auto"/>
        <w:jc w:val="both"/>
      </w:pPr>
    </w:p>
    <w:p>
      <w:pPr>
        <w:widowControl w:val="0"/>
        <w:spacing w:line="240" w:lineRule="auto"/>
        <w:jc w:val="both"/>
      </w:pPr>
      <w:r>
        <w:drawing>
          <wp:inline distT="0" distB="0" distL="114300" distR="114300">
            <wp:extent cx="5362575" cy="75628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a:stretch>
                      <a:fillRect/>
                    </a:stretch>
                  </pic:blipFill>
                  <pic:spPr>
                    <a:xfrm>
                      <a:off x="0" y="0"/>
                      <a:ext cx="5362575" cy="7562850"/>
                    </a:xfrm>
                    <a:prstGeom prst="rect">
                      <a:avLst/>
                    </a:prstGeom>
                    <a:noFill/>
                    <a:ln>
                      <a:noFill/>
                    </a:ln>
                  </pic:spPr>
                </pic:pic>
              </a:graphicData>
            </a:graphic>
          </wp:inline>
        </w:drawing>
      </w:r>
    </w:p>
    <w:p>
      <w:pPr>
        <w:widowControl w:val="0"/>
        <w:spacing w:line="240" w:lineRule="auto"/>
        <w:jc w:val="both"/>
      </w:pPr>
    </w:p>
    <w:p>
      <w:pPr>
        <w:widowControl w:val="0"/>
        <w:spacing w:line="240" w:lineRule="auto"/>
        <w:jc w:val="both"/>
      </w:pPr>
      <w:r>
        <w:drawing>
          <wp:inline distT="0" distB="0" distL="114300" distR="114300">
            <wp:extent cx="5543550" cy="770572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tretch>
                      <a:fillRect/>
                    </a:stretch>
                  </pic:blipFill>
                  <pic:spPr>
                    <a:xfrm>
                      <a:off x="0" y="0"/>
                      <a:ext cx="5543550" cy="7705725"/>
                    </a:xfrm>
                    <a:prstGeom prst="rect">
                      <a:avLst/>
                    </a:prstGeom>
                    <a:noFill/>
                    <a:ln>
                      <a:noFill/>
                    </a:ln>
                  </pic:spPr>
                </pic:pic>
              </a:graphicData>
            </a:graphic>
          </wp:inline>
        </w:drawing>
      </w:r>
    </w:p>
    <w:p>
      <w:pPr>
        <w:widowControl w:val="0"/>
        <w:spacing w:line="240" w:lineRule="auto"/>
        <w:jc w:val="both"/>
      </w:pPr>
    </w:p>
    <w:p>
      <w:pPr>
        <w:widowControl w:val="0"/>
        <w:spacing w:line="240" w:lineRule="auto"/>
        <w:jc w:val="both"/>
      </w:pPr>
      <w:r>
        <w:drawing>
          <wp:inline distT="0" distB="0" distL="114300" distR="114300">
            <wp:extent cx="5457825" cy="750570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a:stretch>
                      <a:fillRect/>
                    </a:stretch>
                  </pic:blipFill>
                  <pic:spPr>
                    <a:xfrm>
                      <a:off x="0" y="0"/>
                      <a:ext cx="5457825" cy="7505700"/>
                    </a:xfrm>
                    <a:prstGeom prst="rect">
                      <a:avLst/>
                    </a:prstGeom>
                    <a:noFill/>
                    <a:ln>
                      <a:noFill/>
                    </a:ln>
                  </pic:spPr>
                </pic:pic>
              </a:graphicData>
            </a:graphic>
          </wp:inline>
        </w:drawing>
      </w:r>
    </w:p>
    <w:p>
      <w:pPr>
        <w:widowControl w:val="0"/>
        <w:spacing w:line="240" w:lineRule="auto"/>
        <w:jc w:val="both"/>
      </w:pPr>
    </w:p>
    <w:p>
      <w:pPr>
        <w:widowControl w:val="0"/>
        <w:spacing w:line="240" w:lineRule="auto"/>
        <w:jc w:val="both"/>
      </w:pPr>
      <w:r>
        <w:drawing>
          <wp:inline distT="0" distB="0" distL="114300" distR="114300">
            <wp:extent cx="5686425" cy="75342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5"/>
                    <a:stretch>
                      <a:fillRect/>
                    </a:stretch>
                  </pic:blipFill>
                  <pic:spPr>
                    <a:xfrm>
                      <a:off x="0" y="0"/>
                      <a:ext cx="5686425" cy="7534275"/>
                    </a:xfrm>
                    <a:prstGeom prst="rect">
                      <a:avLst/>
                    </a:prstGeom>
                    <a:noFill/>
                    <a:ln>
                      <a:noFill/>
                    </a:ln>
                  </pic:spPr>
                </pic:pic>
              </a:graphicData>
            </a:graphic>
          </wp:inline>
        </w:drawing>
      </w:r>
    </w:p>
    <w:p>
      <w:pPr>
        <w:tabs>
          <w:tab w:val="left" w:pos="1168"/>
        </w:tabs>
        <w:bidi w:val="0"/>
        <w:jc w:val="left"/>
        <w:rPr>
          <w:rFonts w:hint="eastAsia"/>
          <w:lang w:val="en-US" w:eastAsia="zh-CN"/>
        </w:rPr>
        <w:sectPr>
          <w:footerReference r:id="rId5" w:type="default"/>
          <w:pgSz w:w="11906" w:h="16838"/>
          <w:pgMar w:top="2098" w:right="1358" w:bottom="1985" w:left="1268" w:header="885" w:footer="1588" w:gutter="0"/>
          <w:cols w:space="425" w:num="1"/>
          <w:docGrid w:type="linesAndChars" w:linePitch="579" w:charSpace="0"/>
        </w:sectPr>
      </w:pPr>
    </w:p>
    <w:tbl>
      <w:tblPr>
        <w:tblStyle w:val="6"/>
        <w:tblpPr w:leftFromText="180" w:rightFromText="180" w:vertAnchor="text" w:horzAnchor="page" w:tblpXSpec="center" w:tblpY="440"/>
        <w:tblW w:w="15460" w:type="dxa"/>
        <w:jc w:val="center"/>
        <w:tblLayout w:type="autofit"/>
        <w:tblCellMar>
          <w:top w:w="0" w:type="dxa"/>
          <w:left w:w="108" w:type="dxa"/>
          <w:bottom w:w="0" w:type="dxa"/>
          <w:right w:w="108" w:type="dxa"/>
        </w:tblCellMar>
      </w:tblPr>
      <w:tblGrid>
        <w:gridCol w:w="940"/>
        <w:gridCol w:w="1400"/>
        <w:gridCol w:w="880"/>
        <w:gridCol w:w="1700"/>
        <w:gridCol w:w="1140"/>
        <w:gridCol w:w="3560"/>
        <w:gridCol w:w="1420"/>
        <w:gridCol w:w="3040"/>
        <w:gridCol w:w="1380"/>
      </w:tblGrid>
      <w:tr>
        <w:tblPrEx>
          <w:tblCellMar>
            <w:top w:w="0" w:type="dxa"/>
            <w:left w:w="108" w:type="dxa"/>
            <w:bottom w:w="0" w:type="dxa"/>
            <w:right w:w="108" w:type="dxa"/>
          </w:tblCellMar>
        </w:tblPrEx>
        <w:trPr>
          <w:trHeight w:val="450" w:hRule="atLeast"/>
          <w:jc w:val="center"/>
        </w:trPr>
        <w:tc>
          <w:tcPr>
            <w:tcW w:w="940" w:type="dxa"/>
            <w:tcBorders>
              <w:top w:val="nil"/>
              <w:left w:val="nil"/>
              <w:bottom w:val="nil"/>
              <w:right w:val="nil"/>
            </w:tcBorders>
            <w:shd w:val="clear" w:color="auto" w:fill="auto"/>
            <w:noWrap/>
            <w:vAlign w:val="center"/>
          </w:tcPr>
          <w:p>
            <w:pPr>
              <w:spacing w:line="240" w:lineRule="auto"/>
              <w:jc w:val="left"/>
              <w:rPr>
                <w:rFonts w:cs="Times New Roman" w:eastAsiaTheme="minorEastAsia"/>
                <w:snapToGrid/>
                <w:kern w:val="0"/>
                <w:sz w:val="20"/>
                <w:szCs w:val="20"/>
              </w:rPr>
            </w:pPr>
          </w:p>
          <w:p>
            <w:pPr>
              <w:spacing w:line="240" w:lineRule="auto"/>
              <w:jc w:val="left"/>
              <w:rPr>
                <w:rFonts w:cs="Times New Roman" w:eastAsiaTheme="minorEastAsia"/>
                <w:snapToGrid/>
                <w:kern w:val="0"/>
                <w:sz w:val="20"/>
                <w:szCs w:val="20"/>
              </w:rPr>
            </w:pPr>
          </w:p>
          <w:p>
            <w:pPr>
              <w:spacing w:line="240" w:lineRule="auto"/>
              <w:jc w:val="left"/>
              <w:rPr>
                <w:rFonts w:cs="Times New Roman" w:eastAsiaTheme="minorEastAsia"/>
                <w:snapToGrid/>
                <w:kern w:val="0"/>
                <w:sz w:val="20"/>
                <w:szCs w:val="20"/>
              </w:rPr>
            </w:pPr>
          </w:p>
        </w:tc>
        <w:tc>
          <w:tcPr>
            <w:tcW w:w="14520" w:type="dxa"/>
            <w:gridSpan w:val="8"/>
            <w:tcBorders>
              <w:top w:val="nil"/>
              <w:left w:val="nil"/>
              <w:bottom w:val="nil"/>
              <w:right w:val="nil"/>
            </w:tcBorders>
            <w:shd w:val="clear" w:color="auto" w:fill="auto"/>
            <w:noWrap/>
            <w:vAlign w:val="center"/>
          </w:tcPr>
          <w:p>
            <w:pPr>
              <w:widowControl w:val="0"/>
              <w:jc w:val="left"/>
              <w:rPr>
                <w:rFonts w:eastAsia="仿宋" w:cs="Times New Roman"/>
                <w:snapToGrid/>
                <w:color w:val="000000" w:themeColor="text1"/>
                <w:szCs w:val="32"/>
              </w:rPr>
            </w:pPr>
            <w:r>
              <w:rPr>
                <w:rFonts w:eastAsia="仿宋" w:cs="Times New Roman"/>
                <w:snapToGrid/>
                <w:color w:val="000000" w:themeColor="text1"/>
                <w:szCs w:val="32"/>
              </w:rPr>
              <w:t>附件2</w:t>
            </w:r>
          </w:p>
          <w:p>
            <w:pPr>
              <w:spacing w:line="240" w:lineRule="auto"/>
              <w:jc w:val="left"/>
              <w:rPr>
                <w:rFonts w:eastAsia="黑体" w:cs="Times New Roman"/>
                <w:snapToGrid/>
                <w:kern w:val="0"/>
                <w:sz w:val="24"/>
                <w:szCs w:val="24"/>
              </w:rPr>
            </w:pPr>
            <w:r>
              <w:rPr>
                <w:rFonts w:eastAsia="黑体" w:cs="Times New Roman"/>
                <w:snapToGrid/>
                <w:kern w:val="0"/>
                <w:sz w:val="24"/>
                <w:szCs w:val="24"/>
              </w:rPr>
              <w:t>人数合计:      /人        科数合计:      /科</w:t>
            </w:r>
          </w:p>
        </w:tc>
      </w:tr>
      <w:tr>
        <w:tblPrEx>
          <w:tblCellMar>
            <w:top w:w="0" w:type="dxa"/>
            <w:left w:w="108" w:type="dxa"/>
            <w:bottom w:w="0" w:type="dxa"/>
            <w:right w:w="108" w:type="dxa"/>
          </w:tblCellMar>
        </w:tblPrEx>
        <w:trPr>
          <w:trHeight w:val="765" w:hRule="atLeast"/>
          <w:jc w:val="center"/>
        </w:trPr>
        <w:tc>
          <w:tcPr>
            <w:tcW w:w="15460" w:type="dxa"/>
            <w:gridSpan w:val="9"/>
            <w:tcBorders>
              <w:top w:val="nil"/>
              <w:left w:val="nil"/>
              <w:bottom w:val="nil"/>
              <w:right w:val="nil"/>
            </w:tcBorders>
            <w:shd w:val="clear" w:color="auto" w:fill="auto"/>
            <w:noWrap/>
            <w:vAlign w:val="center"/>
          </w:tcPr>
          <w:p>
            <w:pPr>
              <w:spacing w:line="240" w:lineRule="auto"/>
              <w:ind w:firstLine="2400" w:firstLineChars="500"/>
              <w:rPr>
                <w:rFonts w:eastAsia="宋体" w:cs="Times New Roman"/>
                <w:b/>
                <w:bCs/>
                <w:snapToGrid/>
                <w:color w:val="000000"/>
                <w:kern w:val="0"/>
                <w:sz w:val="48"/>
                <w:szCs w:val="48"/>
              </w:rPr>
            </w:pPr>
            <w:r>
              <w:rPr>
                <w:rFonts w:eastAsia="宋体" w:cs="Times New Roman"/>
                <w:b/>
                <w:bCs/>
                <w:snapToGrid/>
                <w:color w:val="000000"/>
                <w:kern w:val="0"/>
                <w:sz w:val="48"/>
                <w:szCs w:val="48"/>
              </w:rPr>
              <w:t>成都市202</w:t>
            </w:r>
            <w:r>
              <w:rPr>
                <w:rFonts w:hint="eastAsia" w:eastAsia="宋体" w:cs="Times New Roman"/>
                <w:b/>
                <w:bCs/>
                <w:snapToGrid/>
                <w:color w:val="000000"/>
                <w:kern w:val="0"/>
                <w:sz w:val="48"/>
                <w:szCs w:val="48"/>
                <w:lang w:val="en-US" w:eastAsia="zh-CN"/>
              </w:rPr>
              <w:t>5</w:t>
            </w:r>
            <w:r>
              <w:rPr>
                <w:rFonts w:eastAsia="宋体" w:cs="Times New Roman"/>
                <w:b/>
                <w:bCs/>
                <w:snapToGrid/>
                <w:color w:val="000000"/>
                <w:kern w:val="0"/>
                <w:sz w:val="48"/>
                <w:szCs w:val="48"/>
              </w:rPr>
              <w:t>年护士执业资格考试报名花名册</w:t>
            </w:r>
          </w:p>
        </w:tc>
      </w:tr>
      <w:tr>
        <w:tblPrEx>
          <w:tblCellMar>
            <w:top w:w="0" w:type="dxa"/>
            <w:left w:w="108" w:type="dxa"/>
            <w:bottom w:w="0" w:type="dxa"/>
            <w:right w:w="108" w:type="dxa"/>
          </w:tblCellMar>
        </w:tblPrEx>
        <w:trPr>
          <w:trHeight w:val="525" w:hRule="atLeast"/>
          <w:jc w:val="center"/>
        </w:trPr>
        <w:tc>
          <w:tcPr>
            <w:tcW w:w="15460" w:type="dxa"/>
            <w:gridSpan w:val="9"/>
            <w:tcBorders>
              <w:top w:val="nil"/>
              <w:left w:val="nil"/>
              <w:bottom w:val="nil"/>
              <w:right w:val="nil"/>
            </w:tcBorders>
            <w:shd w:val="clear" w:color="auto" w:fill="auto"/>
            <w:noWrap/>
            <w:vAlign w:val="center"/>
          </w:tcPr>
          <w:p>
            <w:pPr>
              <w:spacing w:line="240" w:lineRule="auto"/>
              <w:jc w:val="left"/>
              <w:rPr>
                <w:rFonts w:eastAsia="宋体" w:cs="Times New Roman"/>
                <w:snapToGrid/>
                <w:color w:val="000000"/>
                <w:kern w:val="0"/>
                <w:sz w:val="28"/>
                <w:szCs w:val="28"/>
              </w:rPr>
            </w:pPr>
            <w:r>
              <w:rPr>
                <w:rFonts w:eastAsia="宋体" w:cs="Times New Roman"/>
                <w:snapToGrid/>
                <w:color w:val="000000"/>
                <w:kern w:val="0"/>
                <w:sz w:val="28"/>
                <w:szCs w:val="28"/>
              </w:rPr>
              <w:t>填报单位：                                          填报人：              联系电话：</w:t>
            </w:r>
          </w:p>
        </w:tc>
      </w:tr>
      <w:tr>
        <w:tblPrEx>
          <w:tblCellMar>
            <w:top w:w="0" w:type="dxa"/>
            <w:left w:w="108" w:type="dxa"/>
            <w:bottom w:w="0" w:type="dxa"/>
            <w:right w:w="108" w:type="dxa"/>
          </w:tblCellMar>
        </w:tblPrEx>
        <w:trPr>
          <w:trHeight w:val="75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cs="Times New Roman"/>
                <w:b/>
                <w:bCs/>
                <w:snapToGrid/>
                <w:kern w:val="0"/>
                <w:sz w:val="28"/>
                <w:szCs w:val="28"/>
              </w:rPr>
            </w:pPr>
            <w:r>
              <w:rPr>
                <w:rFonts w:cs="Times New Roman"/>
                <w:b/>
                <w:bCs/>
                <w:snapToGrid/>
                <w:kern w:val="0"/>
                <w:sz w:val="28"/>
                <w:szCs w:val="28"/>
              </w:rPr>
              <w:t>序号</w:t>
            </w:r>
          </w:p>
        </w:tc>
        <w:tc>
          <w:tcPr>
            <w:tcW w:w="1400"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cs="Times New Roman"/>
                <w:b/>
                <w:bCs/>
                <w:snapToGrid/>
                <w:kern w:val="0"/>
                <w:sz w:val="28"/>
                <w:szCs w:val="28"/>
              </w:rPr>
            </w:pPr>
            <w:r>
              <w:rPr>
                <w:rFonts w:cs="Times New Roman"/>
                <w:b/>
                <w:bCs/>
                <w:snapToGrid/>
                <w:kern w:val="0"/>
                <w:sz w:val="28"/>
                <w:szCs w:val="28"/>
              </w:rPr>
              <w:t>姓名</w:t>
            </w:r>
          </w:p>
        </w:tc>
        <w:tc>
          <w:tcPr>
            <w:tcW w:w="880"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cs="Times New Roman"/>
                <w:b/>
                <w:bCs/>
                <w:snapToGrid/>
                <w:kern w:val="0"/>
                <w:sz w:val="28"/>
                <w:szCs w:val="28"/>
              </w:rPr>
            </w:pPr>
            <w:r>
              <w:rPr>
                <w:rFonts w:cs="Times New Roman"/>
                <w:b/>
                <w:bCs/>
                <w:snapToGrid/>
                <w:kern w:val="0"/>
                <w:sz w:val="28"/>
                <w:szCs w:val="28"/>
              </w:rPr>
              <w:t>性别</w:t>
            </w:r>
          </w:p>
        </w:tc>
        <w:tc>
          <w:tcPr>
            <w:tcW w:w="1700"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cs="Times New Roman"/>
                <w:b/>
                <w:bCs/>
                <w:snapToGrid/>
                <w:kern w:val="0"/>
                <w:sz w:val="28"/>
                <w:szCs w:val="28"/>
              </w:rPr>
            </w:pPr>
            <w:r>
              <w:rPr>
                <w:rFonts w:cs="Times New Roman"/>
                <w:b/>
                <w:bCs/>
                <w:snapToGrid/>
                <w:kern w:val="0"/>
                <w:sz w:val="28"/>
                <w:szCs w:val="28"/>
              </w:rPr>
              <w:t>出生年月日</w:t>
            </w:r>
          </w:p>
        </w:tc>
        <w:tc>
          <w:tcPr>
            <w:tcW w:w="1140"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cs="Times New Roman"/>
                <w:b/>
                <w:bCs/>
                <w:snapToGrid/>
                <w:kern w:val="0"/>
                <w:sz w:val="28"/>
                <w:szCs w:val="28"/>
              </w:rPr>
            </w:pPr>
            <w:r>
              <w:rPr>
                <w:rFonts w:cs="Times New Roman"/>
                <w:b/>
                <w:bCs/>
                <w:snapToGrid/>
                <w:kern w:val="0"/>
                <w:sz w:val="28"/>
                <w:szCs w:val="28"/>
              </w:rPr>
              <w:t>学历</w:t>
            </w:r>
          </w:p>
        </w:tc>
        <w:tc>
          <w:tcPr>
            <w:tcW w:w="3560"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cs="Times New Roman"/>
                <w:b/>
                <w:bCs/>
                <w:snapToGrid/>
                <w:kern w:val="0"/>
                <w:sz w:val="28"/>
                <w:szCs w:val="28"/>
              </w:rPr>
            </w:pPr>
            <w:r>
              <w:rPr>
                <w:rFonts w:cs="Times New Roman"/>
                <w:b/>
                <w:bCs/>
                <w:snapToGrid/>
                <w:kern w:val="0"/>
                <w:sz w:val="28"/>
                <w:szCs w:val="28"/>
              </w:rPr>
              <w:t>毕业学校及时间</w:t>
            </w:r>
          </w:p>
        </w:tc>
        <w:tc>
          <w:tcPr>
            <w:tcW w:w="1420"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cs="Times New Roman"/>
                <w:b/>
                <w:bCs/>
                <w:snapToGrid/>
                <w:kern w:val="0"/>
                <w:sz w:val="28"/>
                <w:szCs w:val="28"/>
              </w:rPr>
            </w:pPr>
            <w:r>
              <w:rPr>
                <w:rFonts w:cs="Times New Roman"/>
                <w:b/>
                <w:bCs/>
                <w:snapToGrid/>
                <w:kern w:val="0"/>
                <w:sz w:val="28"/>
                <w:szCs w:val="28"/>
              </w:rPr>
              <w:t>从事专业工作年限</w:t>
            </w:r>
          </w:p>
        </w:tc>
        <w:tc>
          <w:tcPr>
            <w:tcW w:w="3040"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cs="Times New Roman"/>
                <w:b/>
                <w:bCs/>
                <w:snapToGrid/>
                <w:kern w:val="0"/>
                <w:sz w:val="28"/>
                <w:szCs w:val="28"/>
              </w:rPr>
            </w:pPr>
            <w:r>
              <w:rPr>
                <w:rFonts w:cs="Times New Roman"/>
                <w:b/>
                <w:bCs/>
                <w:snapToGrid/>
                <w:kern w:val="0"/>
                <w:sz w:val="28"/>
                <w:szCs w:val="28"/>
              </w:rPr>
              <w:t>工作单位</w:t>
            </w:r>
          </w:p>
        </w:tc>
        <w:tc>
          <w:tcPr>
            <w:tcW w:w="1380"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cs="Times New Roman"/>
                <w:b/>
                <w:bCs/>
                <w:snapToGrid/>
                <w:kern w:val="0"/>
                <w:sz w:val="28"/>
                <w:szCs w:val="28"/>
              </w:rPr>
            </w:pPr>
            <w:r>
              <w:rPr>
                <w:rFonts w:cs="Times New Roman"/>
                <w:b/>
                <w:bCs/>
                <w:snapToGrid/>
                <w:kern w:val="0"/>
                <w:sz w:val="28"/>
                <w:szCs w:val="28"/>
              </w:rPr>
              <w:t>备注</w:t>
            </w:r>
          </w:p>
        </w:tc>
      </w:tr>
      <w:tr>
        <w:tblPrEx>
          <w:tblCellMar>
            <w:top w:w="0" w:type="dxa"/>
            <w:left w:w="108" w:type="dxa"/>
            <w:bottom w:w="0" w:type="dxa"/>
            <w:right w:w="108" w:type="dxa"/>
          </w:tblCellMar>
        </w:tblPrEx>
        <w:trPr>
          <w:trHeight w:val="499" w:hRule="atLeast"/>
          <w:jc w:val="center"/>
        </w:trPr>
        <w:tc>
          <w:tcPr>
            <w:tcW w:w="940"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88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70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14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356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304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38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r>
      <w:tr>
        <w:tblPrEx>
          <w:tblCellMar>
            <w:top w:w="0" w:type="dxa"/>
            <w:left w:w="108" w:type="dxa"/>
            <w:bottom w:w="0" w:type="dxa"/>
            <w:right w:w="108" w:type="dxa"/>
          </w:tblCellMar>
        </w:tblPrEx>
        <w:trPr>
          <w:trHeight w:val="499" w:hRule="atLeast"/>
          <w:jc w:val="center"/>
        </w:trPr>
        <w:tc>
          <w:tcPr>
            <w:tcW w:w="940"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88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70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14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356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304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38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r>
      <w:tr>
        <w:tblPrEx>
          <w:tblCellMar>
            <w:top w:w="0" w:type="dxa"/>
            <w:left w:w="108" w:type="dxa"/>
            <w:bottom w:w="0" w:type="dxa"/>
            <w:right w:w="108" w:type="dxa"/>
          </w:tblCellMar>
        </w:tblPrEx>
        <w:trPr>
          <w:trHeight w:val="499" w:hRule="atLeast"/>
          <w:jc w:val="center"/>
        </w:trPr>
        <w:tc>
          <w:tcPr>
            <w:tcW w:w="940"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88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70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14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356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eastAsia="宋体" w:cs="Times New Roman"/>
                <w:snapToGrid/>
                <w:color w:val="000000"/>
                <w:kern w:val="0"/>
                <w:sz w:val="22"/>
              </w:rPr>
            </w:pPr>
          </w:p>
        </w:tc>
        <w:tc>
          <w:tcPr>
            <w:tcW w:w="304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38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r>
      <w:tr>
        <w:tblPrEx>
          <w:tblCellMar>
            <w:top w:w="0" w:type="dxa"/>
            <w:left w:w="108" w:type="dxa"/>
            <w:bottom w:w="0" w:type="dxa"/>
            <w:right w:w="108" w:type="dxa"/>
          </w:tblCellMar>
        </w:tblPrEx>
        <w:trPr>
          <w:trHeight w:val="499" w:hRule="atLeast"/>
          <w:jc w:val="center"/>
        </w:trPr>
        <w:tc>
          <w:tcPr>
            <w:tcW w:w="940"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88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70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14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356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304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c>
          <w:tcPr>
            <w:tcW w:w="1380"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eastAsia="宋体" w:cs="Times New Roman"/>
                <w:snapToGrid/>
                <w:color w:val="000000"/>
                <w:kern w:val="0"/>
                <w:sz w:val="22"/>
              </w:rPr>
            </w:pPr>
            <w:r>
              <w:rPr>
                <w:rFonts w:eastAsia="宋体" w:cs="Times New Roman"/>
                <w:snapToGrid/>
                <w:color w:val="000000"/>
                <w:kern w:val="0"/>
                <w:sz w:val="22"/>
              </w:rPr>
              <w:t>　</w:t>
            </w:r>
          </w:p>
        </w:tc>
      </w:tr>
    </w:tbl>
    <w:p>
      <w:pPr>
        <w:widowControl w:val="0"/>
        <w:spacing w:line="240" w:lineRule="auto"/>
        <w:rPr>
          <w:rFonts w:hint="eastAsia" w:ascii="黑体" w:hAnsi="黑体" w:eastAsia="黑体" w:cs="黑体"/>
          <w:bCs/>
          <w:snapToGrid/>
          <w:szCs w:val="32"/>
        </w:rPr>
      </w:pPr>
    </w:p>
    <w:p>
      <w:pPr>
        <w:widowControl w:val="0"/>
        <w:spacing w:line="240" w:lineRule="auto"/>
        <w:rPr>
          <w:rFonts w:hint="eastAsia" w:ascii="黑体" w:hAnsi="黑体" w:eastAsia="黑体" w:cs="黑体"/>
          <w:bCs/>
          <w:snapToGrid/>
          <w:szCs w:val="32"/>
        </w:rPr>
      </w:pPr>
    </w:p>
    <w:p>
      <w:pPr>
        <w:widowControl w:val="0"/>
        <w:overflowPunct w:val="0"/>
        <w:snapToGrid w:val="0"/>
        <w:rPr>
          <w:rFonts w:eastAsia="仿宋" w:cs="Times New Roman"/>
          <w:snapToGrid/>
          <w:color w:val="000000" w:themeColor="text1"/>
          <w:szCs w:val="32"/>
        </w:rPr>
        <w:sectPr>
          <w:pgSz w:w="16838" w:h="11906" w:orient="landscape"/>
          <w:pgMar w:top="1268" w:right="2098" w:bottom="1358" w:left="1985" w:header="885" w:footer="1588" w:gutter="0"/>
          <w:cols w:space="425" w:num="1"/>
          <w:docGrid w:type="linesAndChars" w:linePitch="579" w:charSpace="0"/>
        </w:sectPr>
      </w:pPr>
    </w:p>
    <w:p>
      <w:pPr>
        <w:widowControl w:val="0"/>
        <w:overflowPunct w:val="0"/>
        <w:snapToGrid w:val="0"/>
        <w:rPr>
          <w:rFonts w:eastAsia="仿宋" w:cs="Times New Roman"/>
          <w:snapToGrid/>
          <w:color w:val="000000" w:themeColor="text1"/>
          <w:szCs w:val="32"/>
        </w:rPr>
        <w:sectPr>
          <w:type w:val="continuous"/>
          <w:pgSz w:w="16838" w:h="11906" w:orient="landscape"/>
          <w:pgMar w:top="1268" w:right="2098" w:bottom="1358" w:left="1985" w:header="885" w:footer="1588" w:gutter="0"/>
          <w:cols w:space="425" w:num="1"/>
          <w:docGrid w:type="linesAndChars" w:linePitch="579" w:charSpace="0"/>
        </w:sectPr>
      </w:pPr>
    </w:p>
    <w:p>
      <w:pPr>
        <w:widowControl w:val="0"/>
        <w:overflowPunct w:val="0"/>
        <w:snapToGrid w:val="0"/>
        <w:rPr>
          <w:rFonts w:eastAsia="仿宋" w:cs="Times New Roman"/>
          <w:szCs w:val="32"/>
        </w:rPr>
      </w:pPr>
      <w:r>
        <w:rPr>
          <w:rFonts w:eastAsia="仿宋" w:cs="Times New Roman"/>
          <w:snapToGrid/>
          <w:color w:val="000000" w:themeColor="text1"/>
          <w:szCs w:val="32"/>
        </w:rPr>
        <w:t>附件3</w:t>
      </w:r>
    </w:p>
    <w:tbl>
      <w:tblPr>
        <w:tblStyle w:val="6"/>
        <w:tblpPr w:leftFromText="180" w:rightFromText="180" w:vertAnchor="text" w:horzAnchor="page" w:tblpX="1180" w:tblpY="574"/>
        <w:tblOverlap w:val="never"/>
        <w:tblW w:w="10080" w:type="dxa"/>
        <w:tblInd w:w="0" w:type="dxa"/>
        <w:tblLayout w:type="fixed"/>
        <w:tblCellMar>
          <w:top w:w="0" w:type="dxa"/>
          <w:left w:w="108" w:type="dxa"/>
          <w:bottom w:w="0" w:type="dxa"/>
          <w:right w:w="108" w:type="dxa"/>
        </w:tblCellMar>
      </w:tblPr>
      <w:tblGrid>
        <w:gridCol w:w="1382"/>
        <w:gridCol w:w="497"/>
        <w:gridCol w:w="8201"/>
      </w:tblGrid>
      <w:tr>
        <w:tblPrEx>
          <w:tblCellMar>
            <w:top w:w="0" w:type="dxa"/>
            <w:left w:w="108" w:type="dxa"/>
            <w:bottom w:w="0" w:type="dxa"/>
            <w:right w:w="108" w:type="dxa"/>
          </w:tblCellMar>
        </w:tblPrEx>
        <w:trPr>
          <w:trHeight w:val="1130" w:hRule="atLeast"/>
        </w:trPr>
        <w:tc>
          <w:tcPr>
            <w:tcW w:w="10080" w:type="dxa"/>
            <w:gridSpan w:val="3"/>
            <w:tcBorders>
              <w:top w:val="nil"/>
              <w:left w:val="nil"/>
              <w:bottom w:val="single" w:color="auto" w:sz="4" w:space="0"/>
              <w:right w:val="nil"/>
            </w:tcBorders>
            <w:shd w:val="clear" w:color="auto" w:fill="auto"/>
            <w:noWrap/>
            <w:vAlign w:val="center"/>
          </w:tcPr>
          <w:p>
            <w:pPr>
              <w:spacing w:line="240" w:lineRule="auto"/>
              <w:ind w:firstLine="360" w:firstLineChars="100"/>
              <w:rPr>
                <w:rFonts w:eastAsia="华文中宋" w:cs="Times New Roman"/>
                <w:b/>
                <w:bCs/>
                <w:snapToGrid/>
                <w:kern w:val="0"/>
                <w:sz w:val="36"/>
                <w:szCs w:val="36"/>
              </w:rPr>
            </w:pPr>
            <w:r>
              <w:rPr>
                <w:rFonts w:eastAsia="华文中宋" w:cs="Times New Roman"/>
                <w:b/>
                <w:bCs/>
                <w:snapToGrid/>
                <w:kern w:val="0"/>
                <w:sz w:val="36"/>
                <w:szCs w:val="36"/>
              </w:rPr>
              <w:t>成都考点202</w:t>
            </w:r>
            <w:r>
              <w:rPr>
                <w:rFonts w:hint="eastAsia" w:eastAsia="华文中宋" w:cs="Times New Roman"/>
                <w:b/>
                <w:bCs/>
                <w:snapToGrid/>
                <w:kern w:val="0"/>
                <w:sz w:val="36"/>
                <w:szCs w:val="36"/>
                <w:lang w:val="en-US" w:eastAsia="zh-CN"/>
              </w:rPr>
              <w:t>5</w:t>
            </w:r>
            <w:r>
              <w:rPr>
                <w:rFonts w:eastAsia="华文中宋" w:cs="Times New Roman"/>
                <w:b/>
                <w:bCs/>
                <w:snapToGrid/>
                <w:kern w:val="0"/>
                <w:sz w:val="36"/>
                <w:szCs w:val="36"/>
              </w:rPr>
              <w:t>年护士执业资格考试确认时间安排表</w:t>
            </w:r>
          </w:p>
        </w:tc>
      </w:tr>
      <w:tr>
        <w:tblPrEx>
          <w:tblCellMar>
            <w:top w:w="0" w:type="dxa"/>
            <w:left w:w="108" w:type="dxa"/>
            <w:bottom w:w="0" w:type="dxa"/>
            <w:right w:w="108" w:type="dxa"/>
          </w:tblCellMar>
        </w:tblPrEx>
        <w:trPr>
          <w:trHeight w:val="927" w:hRule="atLeast"/>
        </w:trPr>
        <w:tc>
          <w:tcPr>
            <w:tcW w:w="187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eastAsia="宋体" w:cs="Times New Roman"/>
                <w:b/>
                <w:bCs/>
                <w:snapToGrid/>
                <w:kern w:val="0"/>
                <w:sz w:val="24"/>
                <w:szCs w:val="24"/>
              </w:rPr>
            </w:pPr>
            <w:r>
              <w:rPr>
                <w:rFonts w:eastAsia="宋体" w:cs="Times New Roman"/>
                <w:b/>
                <w:bCs/>
                <w:snapToGrid/>
                <w:kern w:val="0"/>
                <w:sz w:val="24"/>
                <w:szCs w:val="24"/>
              </w:rPr>
              <w:t>报送时间</w:t>
            </w:r>
          </w:p>
        </w:tc>
        <w:tc>
          <w:tcPr>
            <w:tcW w:w="8201"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eastAsia="宋体" w:cs="Times New Roman"/>
                <w:b/>
                <w:bCs/>
                <w:snapToGrid/>
                <w:kern w:val="0"/>
                <w:sz w:val="24"/>
                <w:szCs w:val="24"/>
              </w:rPr>
            </w:pPr>
            <w:r>
              <w:rPr>
                <w:rFonts w:eastAsia="宋体" w:cs="Times New Roman"/>
                <w:b/>
                <w:bCs/>
                <w:snapToGrid/>
                <w:kern w:val="0"/>
                <w:sz w:val="24"/>
                <w:szCs w:val="24"/>
              </w:rPr>
              <w:t>单  位</w:t>
            </w:r>
          </w:p>
        </w:tc>
      </w:tr>
      <w:tr>
        <w:tblPrEx>
          <w:tblCellMar>
            <w:top w:w="0" w:type="dxa"/>
            <w:left w:w="108" w:type="dxa"/>
            <w:bottom w:w="0" w:type="dxa"/>
            <w:right w:w="108" w:type="dxa"/>
          </w:tblCellMar>
        </w:tblPrEx>
        <w:trPr>
          <w:trHeight w:val="931" w:hRule="exact"/>
        </w:trPr>
        <w:tc>
          <w:tcPr>
            <w:tcW w:w="1382"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hint="eastAsia" w:eastAsia="华文楷体" w:cs="Times New Roman"/>
                <w:snapToGrid/>
                <w:kern w:val="0"/>
                <w:sz w:val="24"/>
                <w:szCs w:val="24"/>
                <w:lang w:val="en-US" w:eastAsia="zh-CN"/>
              </w:rPr>
            </w:pPr>
            <w:r>
              <w:rPr>
                <w:rFonts w:eastAsia="华文楷体" w:cs="Times New Roman"/>
                <w:snapToGrid/>
                <w:kern w:val="0"/>
                <w:sz w:val="24"/>
                <w:szCs w:val="24"/>
              </w:rPr>
              <w:t>202</w:t>
            </w:r>
            <w:r>
              <w:rPr>
                <w:rFonts w:hint="eastAsia" w:eastAsia="华文楷体" w:cs="Times New Roman"/>
                <w:snapToGrid/>
                <w:kern w:val="0"/>
                <w:sz w:val="24"/>
                <w:szCs w:val="24"/>
                <w:lang w:val="en-US" w:eastAsia="zh-CN"/>
              </w:rPr>
              <w:t>4</w:t>
            </w:r>
            <w:r>
              <w:rPr>
                <w:rFonts w:eastAsia="华文楷体" w:cs="Times New Roman"/>
                <w:snapToGrid/>
                <w:kern w:val="0"/>
                <w:sz w:val="24"/>
                <w:szCs w:val="24"/>
              </w:rPr>
              <w:t>/12/1</w:t>
            </w:r>
            <w:r>
              <w:rPr>
                <w:rFonts w:hint="eastAsia" w:eastAsia="华文楷体" w:cs="Times New Roman"/>
                <w:snapToGrid/>
                <w:kern w:val="0"/>
                <w:sz w:val="24"/>
                <w:szCs w:val="24"/>
                <w:lang w:val="en-US" w:eastAsia="zh-CN"/>
              </w:rPr>
              <w:t>2</w:t>
            </w:r>
          </w:p>
        </w:tc>
        <w:tc>
          <w:tcPr>
            <w:tcW w:w="497" w:type="dxa"/>
            <w:tcBorders>
              <w:top w:val="nil"/>
              <w:left w:val="nil"/>
              <w:bottom w:val="single" w:color="auto" w:sz="4" w:space="0"/>
              <w:right w:val="single" w:color="auto" w:sz="4" w:space="0"/>
            </w:tcBorders>
            <w:shd w:val="clear" w:color="auto" w:fill="auto"/>
            <w:noWrap/>
            <w:vAlign w:val="center"/>
          </w:tcPr>
          <w:p>
            <w:pPr>
              <w:spacing w:line="240" w:lineRule="exact"/>
              <w:jc w:val="center"/>
              <w:rPr>
                <w:rFonts w:eastAsia="华文楷体" w:cs="Times New Roman"/>
                <w:snapToGrid/>
                <w:kern w:val="0"/>
                <w:sz w:val="21"/>
                <w:szCs w:val="21"/>
              </w:rPr>
            </w:pPr>
            <w:r>
              <w:rPr>
                <w:rFonts w:eastAsia="华文楷体" w:cs="Times New Roman"/>
                <w:snapToGrid/>
                <w:kern w:val="0"/>
                <w:sz w:val="21"/>
                <w:szCs w:val="21"/>
              </w:rPr>
              <w:t>上午</w:t>
            </w:r>
          </w:p>
        </w:tc>
        <w:tc>
          <w:tcPr>
            <w:tcW w:w="8201" w:type="dxa"/>
            <w:tcBorders>
              <w:top w:val="single" w:color="auto" w:sz="4" w:space="0"/>
              <w:left w:val="nil"/>
              <w:bottom w:val="single" w:color="auto" w:sz="4" w:space="0"/>
              <w:right w:val="single" w:color="000000" w:sz="4" w:space="0"/>
            </w:tcBorders>
            <w:shd w:val="clear" w:color="auto" w:fill="auto"/>
            <w:noWrap/>
            <w:vAlign w:val="center"/>
          </w:tcPr>
          <w:p>
            <w:pPr>
              <w:spacing w:line="240" w:lineRule="auto"/>
              <w:jc w:val="left"/>
              <w:rPr>
                <w:rFonts w:hint="eastAsia" w:eastAsia="华文楷体" w:cs="Times New Roman"/>
                <w:snapToGrid/>
                <w:kern w:val="0"/>
                <w:sz w:val="24"/>
                <w:szCs w:val="24"/>
                <w:lang w:eastAsia="zh-CN"/>
              </w:rPr>
            </w:pPr>
            <w:r>
              <w:rPr>
                <w:rFonts w:eastAsia="华文楷体" w:cs="Times New Roman"/>
                <w:snapToGrid/>
                <w:kern w:val="0"/>
                <w:sz w:val="24"/>
                <w:szCs w:val="24"/>
              </w:rPr>
              <w:t>成大医护学院、成都职业技术学院、四川长江职业学院</w:t>
            </w:r>
            <w:r>
              <w:rPr>
                <w:rFonts w:hint="eastAsia" w:eastAsia="华文楷体" w:cs="Times New Roman"/>
                <w:snapToGrid/>
                <w:kern w:val="0"/>
                <w:sz w:val="24"/>
                <w:szCs w:val="24"/>
                <w:lang w:eastAsia="zh-CN"/>
              </w:rPr>
              <w:t>、</w:t>
            </w:r>
            <w:r>
              <w:rPr>
                <w:rFonts w:eastAsia="华文楷体" w:cs="Times New Roman"/>
                <w:snapToGrid/>
                <w:kern w:val="0"/>
                <w:sz w:val="24"/>
                <w:szCs w:val="24"/>
              </w:rPr>
              <w:t>四川文轩职业学院</w:t>
            </w:r>
          </w:p>
        </w:tc>
      </w:tr>
      <w:tr>
        <w:tblPrEx>
          <w:tblCellMar>
            <w:top w:w="0" w:type="dxa"/>
            <w:left w:w="108" w:type="dxa"/>
            <w:bottom w:w="0" w:type="dxa"/>
            <w:right w:w="108" w:type="dxa"/>
          </w:tblCellMar>
        </w:tblPrEx>
        <w:trPr>
          <w:trHeight w:val="931" w:hRule="exact"/>
        </w:trPr>
        <w:tc>
          <w:tcPr>
            <w:tcW w:w="138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eastAsia="华文楷体" w:cs="Times New Roman"/>
                <w:snapToGrid/>
                <w:kern w:val="0"/>
                <w:sz w:val="24"/>
                <w:szCs w:val="24"/>
              </w:rPr>
            </w:pPr>
          </w:p>
        </w:tc>
        <w:tc>
          <w:tcPr>
            <w:tcW w:w="497" w:type="dxa"/>
            <w:tcBorders>
              <w:top w:val="nil"/>
              <w:left w:val="nil"/>
              <w:bottom w:val="single" w:color="auto" w:sz="4" w:space="0"/>
              <w:right w:val="single" w:color="auto" w:sz="4" w:space="0"/>
            </w:tcBorders>
            <w:shd w:val="clear" w:color="auto" w:fill="auto"/>
            <w:noWrap/>
            <w:vAlign w:val="center"/>
          </w:tcPr>
          <w:p>
            <w:pPr>
              <w:spacing w:line="240" w:lineRule="exact"/>
              <w:jc w:val="center"/>
              <w:rPr>
                <w:rFonts w:eastAsia="华文楷体" w:cs="Times New Roman"/>
                <w:snapToGrid/>
                <w:kern w:val="0"/>
                <w:sz w:val="21"/>
                <w:szCs w:val="21"/>
              </w:rPr>
            </w:pPr>
            <w:r>
              <w:rPr>
                <w:rFonts w:eastAsia="华文楷体" w:cs="Times New Roman"/>
                <w:snapToGrid/>
                <w:kern w:val="0"/>
                <w:sz w:val="21"/>
                <w:szCs w:val="21"/>
              </w:rPr>
              <w:t>下午</w:t>
            </w:r>
          </w:p>
        </w:tc>
        <w:tc>
          <w:tcPr>
            <w:tcW w:w="8201" w:type="dxa"/>
            <w:tcBorders>
              <w:top w:val="single" w:color="auto" w:sz="4" w:space="0"/>
              <w:left w:val="nil"/>
              <w:bottom w:val="single" w:color="auto" w:sz="4" w:space="0"/>
              <w:right w:val="single" w:color="000000" w:sz="4" w:space="0"/>
            </w:tcBorders>
            <w:shd w:val="clear" w:color="auto" w:fill="auto"/>
            <w:noWrap/>
            <w:vAlign w:val="center"/>
          </w:tcPr>
          <w:p>
            <w:pPr>
              <w:spacing w:line="480" w:lineRule="exact"/>
              <w:jc w:val="left"/>
              <w:rPr>
                <w:rFonts w:ascii="Times New Roman" w:hAnsi="Times New Roman" w:eastAsia="华文楷体" w:cs="Times New Roman"/>
                <w:snapToGrid/>
                <w:kern w:val="0"/>
                <w:sz w:val="24"/>
                <w:szCs w:val="24"/>
                <w:lang w:val="en-US" w:eastAsia="zh-CN" w:bidi="ar-SA"/>
              </w:rPr>
            </w:pPr>
            <w:r>
              <w:rPr>
                <w:rFonts w:eastAsia="华文楷体" w:cs="Times New Roman"/>
                <w:snapToGrid/>
                <w:kern w:val="0"/>
                <w:sz w:val="24"/>
                <w:szCs w:val="24"/>
              </w:rPr>
              <w:t>委直属医疗卫生单位、成大附属医院</w:t>
            </w:r>
            <w:r>
              <w:rPr>
                <w:rFonts w:hint="eastAsia" w:eastAsia="华文楷体" w:cs="Times New Roman"/>
                <w:snapToGrid/>
                <w:kern w:val="0"/>
                <w:sz w:val="24"/>
                <w:szCs w:val="24"/>
              </w:rPr>
              <w:t>、</w:t>
            </w:r>
            <w:r>
              <w:rPr>
                <w:rFonts w:eastAsia="华文楷体" w:cs="Times New Roman"/>
                <w:snapToGrid/>
                <w:kern w:val="0"/>
                <w:sz w:val="24"/>
                <w:szCs w:val="24"/>
              </w:rPr>
              <w:t>中心代理民营医院、中心代理工矿医院、其他有关单位</w:t>
            </w:r>
            <w:r>
              <w:rPr>
                <w:rFonts w:hint="eastAsia" w:eastAsia="华文楷体" w:cs="Times New Roman"/>
                <w:snapToGrid/>
                <w:kern w:val="0"/>
                <w:sz w:val="24"/>
                <w:szCs w:val="24"/>
              </w:rPr>
              <w:t>、</w:t>
            </w:r>
            <w:r>
              <w:rPr>
                <w:rFonts w:eastAsia="华文楷体" w:cs="Times New Roman"/>
                <w:snapToGrid/>
                <w:kern w:val="0"/>
                <w:sz w:val="24"/>
                <w:szCs w:val="24"/>
              </w:rPr>
              <w:t>简阳市</w:t>
            </w:r>
            <w:r>
              <w:rPr>
                <w:rFonts w:hint="eastAsia" w:eastAsia="华文楷体" w:cs="Times New Roman"/>
                <w:snapToGrid/>
                <w:kern w:val="0"/>
                <w:sz w:val="24"/>
                <w:szCs w:val="24"/>
              </w:rPr>
              <w:t>、</w:t>
            </w:r>
            <w:r>
              <w:rPr>
                <w:rFonts w:eastAsia="华文楷体" w:cs="Times New Roman"/>
                <w:snapToGrid/>
                <w:kern w:val="0"/>
                <w:sz w:val="24"/>
                <w:szCs w:val="24"/>
              </w:rPr>
              <w:t>东部新区</w:t>
            </w:r>
          </w:p>
        </w:tc>
      </w:tr>
      <w:tr>
        <w:tblPrEx>
          <w:tblCellMar>
            <w:top w:w="0" w:type="dxa"/>
            <w:left w:w="108" w:type="dxa"/>
            <w:bottom w:w="0" w:type="dxa"/>
            <w:right w:w="108" w:type="dxa"/>
          </w:tblCellMar>
        </w:tblPrEx>
        <w:trPr>
          <w:trHeight w:val="931" w:hRule="exact"/>
        </w:trPr>
        <w:tc>
          <w:tcPr>
            <w:tcW w:w="1382"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hint="eastAsia" w:eastAsia="华文楷体" w:cs="Times New Roman"/>
                <w:snapToGrid/>
                <w:kern w:val="0"/>
                <w:sz w:val="24"/>
                <w:szCs w:val="24"/>
                <w:lang w:val="en-US" w:eastAsia="zh-CN"/>
              </w:rPr>
            </w:pPr>
            <w:r>
              <w:rPr>
                <w:rFonts w:eastAsia="华文楷体" w:cs="Times New Roman"/>
                <w:snapToGrid/>
                <w:kern w:val="0"/>
                <w:sz w:val="24"/>
                <w:szCs w:val="24"/>
              </w:rPr>
              <w:t>202</w:t>
            </w:r>
            <w:r>
              <w:rPr>
                <w:rFonts w:hint="eastAsia" w:eastAsia="华文楷体" w:cs="Times New Roman"/>
                <w:snapToGrid/>
                <w:kern w:val="0"/>
                <w:sz w:val="24"/>
                <w:szCs w:val="24"/>
                <w:lang w:val="en-US" w:eastAsia="zh-CN"/>
              </w:rPr>
              <w:t>4</w:t>
            </w:r>
            <w:r>
              <w:rPr>
                <w:rFonts w:eastAsia="华文楷体" w:cs="Times New Roman"/>
                <w:snapToGrid/>
                <w:kern w:val="0"/>
                <w:sz w:val="24"/>
                <w:szCs w:val="24"/>
              </w:rPr>
              <w:t>/12/1</w:t>
            </w:r>
            <w:r>
              <w:rPr>
                <w:rFonts w:hint="eastAsia" w:eastAsia="华文楷体" w:cs="Times New Roman"/>
                <w:snapToGrid/>
                <w:kern w:val="0"/>
                <w:sz w:val="24"/>
                <w:szCs w:val="24"/>
                <w:lang w:val="en-US" w:eastAsia="zh-CN"/>
              </w:rPr>
              <w:t>3</w:t>
            </w:r>
          </w:p>
        </w:tc>
        <w:tc>
          <w:tcPr>
            <w:tcW w:w="497" w:type="dxa"/>
            <w:tcBorders>
              <w:top w:val="nil"/>
              <w:left w:val="nil"/>
              <w:bottom w:val="single" w:color="auto" w:sz="4" w:space="0"/>
              <w:right w:val="single" w:color="auto" w:sz="4" w:space="0"/>
            </w:tcBorders>
            <w:shd w:val="clear" w:color="auto" w:fill="auto"/>
            <w:noWrap/>
            <w:vAlign w:val="center"/>
          </w:tcPr>
          <w:p>
            <w:pPr>
              <w:spacing w:line="240" w:lineRule="exact"/>
              <w:jc w:val="center"/>
              <w:rPr>
                <w:rFonts w:eastAsia="华文楷体" w:cs="Times New Roman"/>
                <w:snapToGrid/>
                <w:kern w:val="0"/>
                <w:sz w:val="21"/>
                <w:szCs w:val="21"/>
              </w:rPr>
            </w:pPr>
            <w:r>
              <w:rPr>
                <w:rFonts w:eastAsia="华文楷体" w:cs="Times New Roman"/>
                <w:snapToGrid/>
                <w:kern w:val="0"/>
                <w:sz w:val="21"/>
                <w:szCs w:val="21"/>
              </w:rPr>
              <w:t>上午</w:t>
            </w:r>
          </w:p>
        </w:tc>
        <w:tc>
          <w:tcPr>
            <w:tcW w:w="8201" w:type="dxa"/>
            <w:tcBorders>
              <w:top w:val="single" w:color="auto" w:sz="4" w:space="0"/>
              <w:left w:val="nil"/>
              <w:bottom w:val="single" w:color="auto" w:sz="4" w:space="0"/>
              <w:right w:val="single" w:color="000000" w:sz="4" w:space="0"/>
            </w:tcBorders>
            <w:shd w:val="clear" w:color="auto" w:fill="auto"/>
            <w:vAlign w:val="center"/>
          </w:tcPr>
          <w:p>
            <w:pPr>
              <w:spacing w:line="480" w:lineRule="exact"/>
              <w:jc w:val="left"/>
              <w:rPr>
                <w:rFonts w:hint="default" w:eastAsia="华文楷体" w:cs="Times New Roman"/>
                <w:snapToGrid/>
                <w:kern w:val="0"/>
                <w:sz w:val="24"/>
                <w:szCs w:val="24"/>
                <w:lang w:val="en-US" w:eastAsia="zh-CN"/>
              </w:rPr>
            </w:pPr>
            <w:r>
              <w:rPr>
                <w:rFonts w:hint="eastAsia" w:eastAsia="华文楷体" w:cs="Times New Roman"/>
                <w:snapToGrid/>
                <w:kern w:val="0"/>
                <w:sz w:val="24"/>
                <w:szCs w:val="24"/>
                <w:lang w:val="en-US" w:eastAsia="zh-CN"/>
              </w:rPr>
              <w:t>其他学校</w:t>
            </w:r>
          </w:p>
        </w:tc>
      </w:tr>
      <w:tr>
        <w:tblPrEx>
          <w:tblCellMar>
            <w:top w:w="0" w:type="dxa"/>
            <w:left w:w="108" w:type="dxa"/>
            <w:bottom w:w="0" w:type="dxa"/>
            <w:right w:w="108" w:type="dxa"/>
          </w:tblCellMar>
        </w:tblPrEx>
        <w:trPr>
          <w:trHeight w:val="931" w:hRule="exact"/>
        </w:trPr>
        <w:tc>
          <w:tcPr>
            <w:tcW w:w="138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eastAsia="华文楷体" w:cs="Times New Roman"/>
                <w:snapToGrid/>
                <w:kern w:val="0"/>
                <w:sz w:val="24"/>
                <w:szCs w:val="24"/>
              </w:rPr>
            </w:pPr>
          </w:p>
        </w:tc>
        <w:tc>
          <w:tcPr>
            <w:tcW w:w="497" w:type="dxa"/>
            <w:tcBorders>
              <w:top w:val="nil"/>
              <w:left w:val="nil"/>
              <w:bottom w:val="single" w:color="auto" w:sz="4" w:space="0"/>
              <w:right w:val="single" w:color="auto" w:sz="4" w:space="0"/>
            </w:tcBorders>
            <w:shd w:val="clear" w:color="auto" w:fill="auto"/>
            <w:noWrap/>
            <w:vAlign w:val="center"/>
          </w:tcPr>
          <w:p>
            <w:pPr>
              <w:spacing w:line="240" w:lineRule="exact"/>
              <w:jc w:val="center"/>
              <w:rPr>
                <w:rFonts w:eastAsia="华文楷体" w:cs="Times New Roman"/>
                <w:snapToGrid/>
                <w:kern w:val="0"/>
                <w:sz w:val="21"/>
                <w:szCs w:val="21"/>
              </w:rPr>
            </w:pPr>
            <w:r>
              <w:rPr>
                <w:rFonts w:eastAsia="华文楷体" w:cs="Times New Roman"/>
                <w:snapToGrid/>
                <w:kern w:val="0"/>
                <w:sz w:val="21"/>
                <w:szCs w:val="21"/>
              </w:rPr>
              <w:t>下午</w:t>
            </w:r>
          </w:p>
        </w:tc>
        <w:tc>
          <w:tcPr>
            <w:tcW w:w="8201" w:type="dxa"/>
            <w:tcBorders>
              <w:top w:val="single" w:color="auto" w:sz="4" w:space="0"/>
              <w:left w:val="nil"/>
              <w:bottom w:val="single" w:color="auto" w:sz="4" w:space="0"/>
              <w:right w:val="single" w:color="000000" w:sz="4" w:space="0"/>
            </w:tcBorders>
            <w:shd w:val="clear" w:color="auto" w:fill="auto"/>
            <w:noWrap/>
            <w:vAlign w:val="center"/>
          </w:tcPr>
          <w:p>
            <w:pPr>
              <w:spacing w:line="240" w:lineRule="auto"/>
              <w:jc w:val="left"/>
              <w:rPr>
                <w:rFonts w:eastAsia="华文楷体" w:cs="Times New Roman"/>
                <w:snapToGrid/>
                <w:kern w:val="0"/>
                <w:sz w:val="24"/>
                <w:szCs w:val="24"/>
              </w:rPr>
            </w:pPr>
            <w:r>
              <w:rPr>
                <w:rFonts w:eastAsia="华文楷体" w:cs="Times New Roman"/>
                <w:snapToGrid/>
                <w:kern w:val="0"/>
                <w:sz w:val="24"/>
                <w:szCs w:val="24"/>
              </w:rPr>
              <w:t>成华区</w:t>
            </w:r>
            <w:r>
              <w:rPr>
                <w:rFonts w:hint="eastAsia" w:eastAsia="华文楷体" w:cs="Times New Roman"/>
                <w:snapToGrid/>
                <w:kern w:val="0"/>
                <w:sz w:val="24"/>
                <w:szCs w:val="24"/>
              </w:rPr>
              <w:t>、</w:t>
            </w:r>
            <w:r>
              <w:rPr>
                <w:rFonts w:eastAsia="华文楷体" w:cs="Times New Roman"/>
                <w:snapToGrid/>
                <w:kern w:val="0"/>
                <w:sz w:val="24"/>
                <w:szCs w:val="24"/>
              </w:rPr>
              <w:t>天府新区</w:t>
            </w:r>
            <w:r>
              <w:rPr>
                <w:rFonts w:hint="eastAsia" w:eastAsia="华文楷体" w:cs="Times New Roman"/>
                <w:snapToGrid/>
                <w:kern w:val="0"/>
                <w:sz w:val="24"/>
                <w:szCs w:val="24"/>
              </w:rPr>
              <w:t>、</w:t>
            </w:r>
            <w:r>
              <w:rPr>
                <w:rFonts w:eastAsia="华文楷体" w:cs="Times New Roman"/>
                <w:snapToGrid/>
                <w:kern w:val="0"/>
                <w:sz w:val="24"/>
                <w:szCs w:val="24"/>
              </w:rPr>
              <w:t>锦江区</w:t>
            </w:r>
            <w:r>
              <w:rPr>
                <w:rFonts w:hint="eastAsia" w:eastAsia="华文楷体" w:cs="Times New Roman"/>
                <w:snapToGrid/>
                <w:kern w:val="0"/>
                <w:sz w:val="24"/>
                <w:szCs w:val="24"/>
              </w:rPr>
              <w:t>、</w:t>
            </w:r>
            <w:r>
              <w:rPr>
                <w:rFonts w:eastAsia="华文楷体" w:cs="Times New Roman"/>
                <w:snapToGrid/>
                <w:kern w:val="0"/>
                <w:sz w:val="24"/>
                <w:szCs w:val="24"/>
              </w:rPr>
              <w:t>高新区</w:t>
            </w:r>
            <w:r>
              <w:rPr>
                <w:rFonts w:hint="eastAsia" w:eastAsia="华文楷体" w:cs="Times New Roman"/>
                <w:snapToGrid/>
                <w:kern w:val="0"/>
                <w:sz w:val="24"/>
                <w:szCs w:val="24"/>
              </w:rPr>
              <w:t>、</w:t>
            </w:r>
            <w:r>
              <w:rPr>
                <w:rFonts w:eastAsia="华文楷体" w:cs="Times New Roman"/>
                <w:snapToGrid/>
                <w:kern w:val="0"/>
                <w:sz w:val="24"/>
                <w:szCs w:val="24"/>
              </w:rPr>
              <w:t>金牛区</w:t>
            </w:r>
            <w:r>
              <w:rPr>
                <w:rFonts w:hint="eastAsia" w:eastAsia="华文楷体" w:cs="Times New Roman"/>
                <w:snapToGrid/>
                <w:kern w:val="0"/>
                <w:sz w:val="24"/>
                <w:szCs w:val="24"/>
              </w:rPr>
              <w:t>、</w:t>
            </w:r>
            <w:r>
              <w:rPr>
                <w:rFonts w:eastAsia="华文楷体" w:cs="Times New Roman"/>
                <w:snapToGrid/>
                <w:kern w:val="0"/>
                <w:sz w:val="24"/>
                <w:szCs w:val="24"/>
              </w:rPr>
              <w:t>武侯区</w:t>
            </w:r>
            <w:r>
              <w:rPr>
                <w:rFonts w:hint="eastAsia" w:eastAsia="华文楷体" w:cs="Times New Roman"/>
                <w:snapToGrid/>
                <w:kern w:val="0"/>
                <w:sz w:val="24"/>
                <w:szCs w:val="24"/>
              </w:rPr>
              <w:t>、</w:t>
            </w:r>
            <w:r>
              <w:rPr>
                <w:rFonts w:eastAsia="华文楷体" w:cs="Times New Roman"/>
                <w:snapToGrid/>
                <w:kern w:val="0"/>
                <w:sz w:val="24"/>
                <w:szCs w:val="24"/>
              </w:rPr>
              <w:t>新都区</w:t>
            </w:r>
          </w:p>
        </w:tc>
      </w:tr>
      <w:tr>
        <w:tblPrEx>
          <w:tblCellMar>
            <w:top w:w="0" w:type="dxa"/>
            <w:left w:w="108" w:type="dxa"/>
            <w:bottom w:w="0" w:type="dxa"/>
            <w:right w:w="108" w:type="dxa"/>
          </w:tblCellMar>
        </w:tblPrEx>
        <w:trPr>
          <w:trHeight w:val="931" w:hRule="exact"/>
        </w:trPr>
        <w:tc>
          <w:tcPr>
            <w:tcW w:w="1382"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hint="default" w:eastAsia="华文楷体" w:cs="Times New Roman"/>
                <w:snapToGrid/>
                <w:kern w:val="0"/>
                <w:sz w:val="24"/>
                <w:szCs w:val="24"/>
                <w:lang w:val="en-US" w:eastAsia="zh-CN"/>
              </w:rPr>
            </w:pPr>
            <w:r>
              <w:rPr>
                <w:rFonts w:eastAsia="华文楷体" w:cs="Times New Roman"/>
                <w:snapToGrid/>
                <w:kern w:val="0"/>
                <w:sz w:val="24"/>
                <w:szCs w:val="24"/>
              </w:rPr>
              <w:t>202</w:t>
            </w:r>
            <w:r>
              <w:rPr>
                <w:rFonts w:hint="eastAsia" w:eastAsia="华文楷体" w:cs="Times New Roman"/>
                <w:snapToGrid/>
                <w:kern w:val="0"/>
                <w:sz w:val="24"/>
                <w:szCs w:val="24"/>
                <w:lang w:val="en-US" w:eastAsia="zh-CN"/>
              </w:rPr>
              <w:t>4</w:t>
            </w:r>
            <w:r>
              <w:rPr>
                <w:rFonts w:eastAsia="华文楷体" w:cs="Times New Roman"/>
                <w:snapToGrid/>
                <w:kern w:val="0"/>
                <w:sz w:val="24"/>
                <w:szCs w:val="24"/>
              </w:rPr>
              <w:t>/12/</w:t>
            </w:r>
            <w:r>
              <w:rPr>
                <w:rFonts w:hint="eastAsia" w:eastAsia="华文楷体" w:cs="Times New Roman"/>
                <w:snapToGrid/>
                <w:kern w:val="0"/>
                <w:sz w:val="24"/>
                <w:szCs w:val="24"/>
                <w:lang w:val="en-US" w:eastAsia="zh-CN"/>
              </w:rPr>
              <w:t>16</w:t>
            </w:r>
          </w:p>
        </w:tc>
        <w:tc>
          <w:tcPr>
            <w:tcW w:w="497" w:type="dxa"/>
            <w:tcBorders>
              <w:top w:val="nil"/>
              <w:left w:val="nil"/>
              <w:bottom w:val="single" w:color="auto" w:sz="4" w:space="0"/>
              <w:right w:val="single" w:color="auto" w:sz="4" w:space="0"/>
            </w:tcBorders>
            <w:shd w:val="clear" w:color="auto" w:fill="auto"/>
            <w:noWrap/>
            <w:vAlign w:val="center"/>
          </w:tcPr>
          <w:p>
            <w:pPr>
              <w:spacing w:line="240" w:lineRule="exact"/>
              <w:jc w:val="center"/>
              <w:rPr>
                <w:rFonts w:eastAsia="华文楷体" w:cs="Times New Roman"/>
                <w:snapToGrid/>
                <w:kern w:val="0"/>
                <w:sz w:val="21"/>
                <w:szCs w:val="21"/>
              </w:rPr>
            </w:pPr>
            <w:r>
              <w:rPr>
                <w:rFonts w:eastAsia="华文楷体" w:cs="Times New Roman"/>
                <w:snapToGrid/>
                <w:kern w:val="0"/>
                <w:sz w:val="21"/>
                <w:szCs w:val="21"/>
              </w:rPr>
              <w:t>上午</w:t>
            </w:r>
          </w:p>
        </w:tc>
        <w:tc>
          <w:tcPr>
            <w:tcW w:w="8201" w:type="dxa"/>
            <w:tcBorders>
              <w:top w:val="single" w:color="auto" w:sz="4" w:space="0"/>
              <w:left w:val="nil"/>
              <w:bottom w:val="single" w:color="auto" w:sz="4" w:space="0"/>
              <w:right w:val="single" w:color="000000" w:sz="4" w:space="0"/>
            </w:tcBorders>
            <w:shd w:val="clear" w:color="auto" w:fill="auto"/>
            <w:noWrap/>
            <w:vAlign w:val="center"/>
          </w:tcPr>
          <w:p>
            <w:pPr>
              <w:spacing w:line="240" w:lineRule="auto"/>
              <w:jc w:val="left"/>
              <w:rPr>
                <w:rFonts w:eastAsia="华文楷体" w:cs="Times New Roman"/>
                <w:snapToGrid/>
                <w:kern w:val="0"/>
                <w:sz w:val="24"/>
                <w:szCs w:val="24"/>
              </w:rPr>
            </w:pPr>
            <w:r>
              <w:rPr>
                <w:rFonts w:eastAsia="华文楷体" w:cs="Times New Roman"/>
                <w:snapToGrid/>
                <w:kern w:val="0"/>
                <w:sz w:val="24"/>
                <w:szCs w:val="24"/>
              </w:rPr>
              <w:t>青羊区</w:t>
            </w:r>
            <w:r>
              <w:rPr>
                <w:rFonts w:hint="eastAsia" w:eastAsia="华文楷体" w:cs="Times New Roman"/>
                <w:snapToGrid/>
                <w:kern w:val="0"/>
                <w:sz w:val="24"/>
                <w:szCs w:val="24"/>
              </w:rPr>
              <w:t>、</w:t>
            </w:r>
            <w:r>
              <w:rPr>
                <w:rFonts w:eastAsia="华文楷体" w:cs="Times New Roman"/>
                <w:snapToGrid/>
                <w:kern w:val="0"/>
                <w:sz w:val="24"/>
                <w:szCs w:val="24"/>
              </w:rPr>
              <w:t>都江堰市</w:t>
            </w:r>
            <w:r>
              <w:rPr>
                <w:rFonts w:hint="eastAsia" w:eastAsia="华文楷体" w:cs="Times New Roman"/>
                <w:snapToGrid/>
                <w:kern w:val="0"/>
                <w:sz w:val="24"/>
                <w:szCs w:val="24"/>
              </w:rPr>
              <w:t>、</w:t>
            </w:r>
            <w:r>
              <w:rPr>
                <w:rFonts w:eastAsia="华文楷体" w:cs="Times New Roman"/>
                <w:snapToGrid/>
                <w:kern w:val="0"/>
                <w:sz w:val="24"/>
                <w:szCs w:val="24"/>
              </w:rPr>
              <w:t>双流区</w:t>
            </w:r>
            <w:r>
              <w:rPr>
                <w:rFonts w:hint="eastAsia" w:eastAsia="华文楷体" w:cs="Times New Roman"/>
                <w:snapToGrid/>
                <w:kern w:val="0"/>
                <w:sz w:val="24"/>
                <w:szCs w:val="24"/>
              </w:rPr>
              <w:t>、</w:t>
            </w:r>
            <w:r>
              <w:rPr>
                <w:rFonts w:eastAsia="华文楷体" w:cs="Times New Roman"/>
                <w:snapToGrid/>
                <w:kern w:val="0"/>
                <w:sz w:val="24"/>
                <w:szCs w:val="24"/>
              </w:rPr>
              <w:t>彭州市</w:t>
            </w:r>
            <w:r>
              <w:rPr>
                <w:rFonts w:hint="eastAsia" w:eastAsia="华文楷体" w:cs="Times New Roman"/>
                <w:snapToGrid/>
                <w:kern w:val="0"/>
                <w:sz w:val="24"/>
                <w:szCs w:val="24"/>
              </w:rPr>
              <w:t>、</w:t>
            </w:r>
            <w:r>
              <w:rPr>
                <w:rFonts w:eastAsia="华文楷体" w:cs="Times New Roman"/>
                <w:snapToGrid/>
                <w:kern w:val="0"/>
                <w:sz w:val="24"/>
                <w:szCs w:val="24"/>
              </w:rPr>
              <w:t>蒲江县</w:t>
            </w:r>
            <w:r>
              <w:rPr>
                <w:rFonts w:hint="eastAsia" w:eastAsia="华文楷体" w:cs="Times New Roman"/>
                <w:snapToGrid/>
                <w:kern w:val="0"/>
                <w:sz w:val="24"/>
                <w:szCs w:val="24"/>
              </w:rPr>
              <w:t>、</w:t>
            </w:r>
            <w:r>
              <w:rPr>
                <w:rFonts w:eastAsia="华文楷体" w:cs="Times New Roman"/>
                <w:snapToGrid/>
                <w:kern w:val="0"/>
                <w:sz w:val="24"/>
                <w:szCs w:val="24"/>
              </w:rPr>
              <w:t>邛崃市</w:t>
            </w:r>
            <w:r>
              <w:rPr>
                <w:rFonts w:hint="eastAsia" w:eastAsia="华文楷体" w:cs="Times New Roman"/>
                <w:snapToGrid/>
                <w:kern w:val="0"/>
                <w:sz w:val="24"/>
                <w:szCs w:val="24"/>
              </w:rPr>
              <w:t>、</w:t>
            </w:r>
            <w:r>
              <w:rPr>
                <w:rFonts w:eastAsia="华文楷体" w:cs="Times New Roman"/>
                <w:snapToGrid/>
                <w:kern w:val="0"/>
                <w:sz w:val="24"/>
                <w:szCs w:val="24"/>
              </w:rPr>
              <w:t>青白江区</w:t>
            </w:r>
          </w:p>
        </w:tc>
      </w:tr>
      <w:tr>
        <w:tblPrEx>
          <w:tblCellMar>
            <w:top w:w="0" w:type="dxa"/>
            <w:left w:w="108" w:type="dxa"/>
            <w:bottom w:w="0" w:type="dxa"/>
            <w:right w:w="108" w:type="dxa"/>
          </w:tblCellMar>
        </w:tblPrEx>
        <w:trPr>
          <w:trHeight w:val="931" w:hRule="exact"/>
        </w:trPr>
        <w:tc>
          <w:tcPr>
            <w:tcW w:w="138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eastAsia="华文楷体" w:cs="Times New Roman"/>
                <w:snapToGrid/>
                <w:kern w:val="0"/>
                <w:sz w:val="24"/>
                <w:szCs w:val="24"/>
              </w:rPr>
            </w:pPr>
          </w:p>
        </w:tc>
        <w:tc>
          <w:tcPr>
            <w:tcW w:w="497" w:type="dxa"/>
            <w:tcBorders>
              <w:top w:val="nil"/>
              <w:left w:val="nil"/>
              <w:bottom w:val="single" w:color="auto" w:sz="4" w:space="0"/>
              <w:right w:val="single" w:color="auto" w:sz="4" w:space="0"/>
            </w:tcBorders>
            <w:shd w:val="clear" w:color="auto" w:fill="auto"/>
            <w:noWrap/>
            <w:vAlign w:val="center"/>
          </w:tcPr>
          <w:p>
            <w:pPr>
              <w:spacing w:line="240" w:lineRule="exact"/>
              <w:jc w:val="center"/>
              <w:rPr>
                <w:rFonts w:eastAsia="华文楷体" w:cs="Times New Roman"/>
                <w:snapToGrid/>
                <w:kern w:val="0"/>
                <w:sz w:val="21"/>
                <w:szCs w:val="21"/>
              </w:rPr>
            </w:pPr>
            <w:r>
              <w:rPr>
                <w:rFonts w:eastAsia="华文楷体" w:cs="Times New Roman"/>
                <w:snapToGrid/>
                <w:kern w:val="0"/>
                <w:sz w:val="21"/>
                <w:szCs w:val="21"/>
              </w:rPr>
              <w:t>下午</w:t>
            </w:r>
          </w:p>
        </w:tc>
        <w:tc>
          <w:tcPr>
            <w:tcW w:w="8201" w:type="dxa"/>
            <w:tcBorders>
              <w:top w:val="single" w:color="auto" w:sz="4" w:space="0"/>
              <w:left w:val="nil"/>
              <w:bottom w:val="single" w:color="auto" w:sz="4" w:space="0"/>
              <w:right w:val="single" w:color="000000" w:sz="4" w:space="0"/>
            </w:tcBorders>
            <w:shd w:val="clear" w:color="auto" w:fill="auto"/>
            <w:noWrap/>
            <w:vAlign w:val="center"/>
          </w:tcPr>
          <w:p>
            <w:pPr>
              <w:spacing w:line="240" w:lineRule="auto"/>
              <w:jc w:val="left"/>
              <w:rPr>
                <w:rFonts w:eastAsia="华文楷体" w:cs="Times New Roman"/>
                <w:snapToGrid/>
                <w:kern w:val="0"/>
                <w:sz w:val="24"/>
                <w:szCs w:val="24"/>
              </w:rPr>
            </w:pPr>
            <w:r>
              <w:rPr>
                <w:rFonts w:eastAsia="华文楷体" w:cs="Times New Roman"/>
                <w:snapToGrid/>
                <w:kern w:val="0"/>
                <w:sz w:val="24"/>
                <w:szCs w:val="24"/>
              </w:rPr>
              <w:t>新津</w:t>
            </w:r>
            <w:r>
              <w:rPr>
                <w:rFonts w:hint="eastAsia" w:eastAsia="华文楷体" w:cs="Times New Roman"/>
                <w:snapToGrid/>
                <w:kern w:val="0"/>
                <w:sz w:val="24"/>
                <w:szCs w:val="24"/>
              </w:rPr>
              <w:t>区、</w:t>
            </w:r>
            <w:r>
              <w:rPr>
                <w:rFonts w:eastAsia="华文楷体" w:cs="Times New Roman"/>
                <w:snapToGrid/>
                <w:kern w:val="0"/>
                <w:sz w:val="24"/>
                <w:szCs w:val="24"/>
              </w:rPr>
              <w:t>龙泉驿区</w:t>
            </w:r>
            <w:r>
              <w:rPr>
                <w:rFonts w:hint="eastAsia" w:eastAsia="华文楷体" w:cs="Times New Roman"/>
                <w:snapToGrid/>
                <w:kern w:val="0"/>
                <w:sz w:val="24"/>
                <w:szCs w:val="24"/>
              </w:rPr>
              <w:t>、</w:t>
            </w:r>
            <w:r>
              <w:rPr>
                <w:rFonts w:eastAsia="华文楷体" w:cs="Times New Roman"/>
                <w:snapToGrid/>
                <w:kern w:val="0"/>
                <w:sz w:val="24"/>
                <w:szCs w:val="24"/>
              </w:rPr>
              <w:t>金堂县</w:t>
            </w:r>
            <w:r>
              <w:rPr>
                <w:rFonts w:hint="eastAsia" w:eastAsia="华文楷体" w:cs="Times New Roman"/>
                <w:snapToGrid/>
                <w:kern w:val="0"/>
                <w:sz w:val="24"/>
                <w:szCs w:val="24"/>
              </w:rPr>
              <w:t>、</w:t>
            </w:r>
            <w:r>
              <w:rPr>
                <w:rFonts w:eastAsia="华文楷体" w:cs="Times New Roman"/>
                <w:snapToGrid/>
                <w:kern w:val="0"/>
                <w:sz w:val="24"/>
                <w:szCs w:val="24"/>
              </w:rPr>
              <w:t>崇州市</w:t>
            </w:r>
            <w:r>
              <w:rPr>
                <w:rFonts w:hint="eastAsia" w:eastAsia="华文楷体" w:cs="Times New Roman"/>
                <w:snapToGrid/>
                <w:kern w:val="0"/>
                <w:sz w:val="24"/>
                <w:szCs w:val="24"/>
              </w:rPr>
              <w:t>、</w:t>
            </w:r>
            <w:r>
              <w:rPr>
                <w:rFonts w:eastAsia="华文楷体" w:cs="Times New Roman"/>
                <w:snapToGrid/>
                <w:kern w:val="0"/>
                <w:sz w:val="24"/>
                <w:szCs w:val="24"/>
              </w:rPr>
              <w:t>大邑县</w:t>
            </w:r>
            <w:r>
              <w:rPr>
                <w:rFonts w:hint="eastAsia" w:eastAsia="华文楷体" w:cs="Times New Roman"/>
                <w:snapToGrid/>
                <w:kern w:val="0"/>
                <w:sz w:val="24"/>
                <w:szCs w:val="24"/>
              </w:rPr>
              <w:t>、</w:t>
            </w:r>
            <w:r>
              <w:rPr>
                <w:rFonts w:eastAsia="华文楷体" w:cs="Times New Roman"/>
                <w:snapToGrid/>
                <w:kern w:val="0"/>
                <w:sz w:val="24"/>
                <w:szCs w:val="24"/>
              </w:rPr>
              <w:t>温江区</w:t>
            </w:r>
            <w:r>
              <w:rPr>
                <w:rFonts w:hint="eastAsia" w:eastAsia="华文楷体" w:cs="Times New Roman"/>
                <w:snapToGrid/>
                <w:kern w:val="0"/>
                <w:sz w:val="24"/>
                <w:szCs w:val="24"/>
              </w:rPr>
              <w:t>、</w:t>
            </w:r>
            <w:r>
              <w:rPr>
                <w:rFonts w:eastAsia="华文楷体" w:cs="Times New Roman"/>
                <w:snapToGrid/>
                <w:kern w:val="0"/>
                <w:sz w:val="24"/>
                <w:szCs w:val="24"/>
              </w:rPr>
              <w:t>郫都区</w:t>
            </w:r>
          </w:p>
        </w:tc>
      </w:tr>
      <w:tr>
        <w:tblPrEx>
          <w:tblCellMar>
            <w:top w:w="0" w:type="dxa"/>
            <w:left w:w="108" w:type="dxa"/>
            <w:bottom w:w="0" w:type="dxa"/>
            <w:right w:w="108" w:type="dxa"/>
          </w:tblCellMar>
        </w:tblPrEx>
        <w:trPr>
          <w:trHeight w:val="931" w:hRule="exact"/>
        </w:trPr>
        <w:tc>
          <w:tcPr>
            <w:tcW w:w="1382"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hint="default" w:eastAsia="华文楷体" w:cs="Times New Roman"/>
                <w:snapToGrid/>
                <w:kern w:val="0"/>
                <w:sz w:val="24"/>
                <w:szCs w:val="24"/>
                <w:lang w:val="en-US" w:eastAsia="zh-CN"/>
              </w:rPr>
            </w:pPr>
            <w:r>
              <w:rPr>
                <w:rFonts w:eastAsia="华文楷体" w:cs="Times New Roman"/>
                <w:snapToGrid/>
                <w:kern w:val="0"/>
                <w:sz w:val="24"/>
                <w:szCs w:val="24"/>
              </w:rPr>
              <w:t>202</w:t>
            </w:r>
            <w:r>
              <w:rPr>
                <w:rFonts w:hint="eastAsia" w:eastAsia="华文楷体" w:cs="Times New Roman"/>
                <w:snapToGrid/>
                <w:kern w:val="0"/>
                <w:sz w:val="24"/>
                <w:szCs w:val="24"/>
                <w:lang w:val="en-US" w:eastAsia="zh-CN"/>
              </w:rPr>
              <w:t>4</w:t>
            </w:r>
            <w:r>
              <w:rPr>
                <w:rFonts w:eastAsia="华文楷体" w:cs="Times New Roman"/>
                <w:snapToGrid/>
                <w:kern w:val="0"/>
                <w:sz w:val="24"/>
                <w:szCs w:val="24"/>
              </w:rPr>
              <w:t>/12/</w:t>
            </w:r>
            <w:r>
              <w:rPr>
                <w:rFonts w:hint="eastAsia" w:eastAsia="华文楷体" w:cs="Times New Roman"/>
                <w:snapToGrid/>
                <w:kern w:val="0"/>
                <w:sz w:val="24"/>
                <w:szCs w:val="24"/>
                <w:lang w:val="en-US" w:eastAsia="zh-CN"/>
              </w:rPr>
              <w:t>17</w:t>
            </w:r>
          </w:p>
        </w:tc>
        <w:tc>
          <w:tcPr>
            <w:tcW w:w="497" w:type="dxa"/>
            <w:tcBorders>
              <w:top w:val="nil"/>
              <w:left w:val="nil"/>
              <w:bottom w:val="single" w:color="auto" w:sz="4" w:space="0"/>
              <w:right w:val="single" w:color="auto" w:sz="4" w:space="0"/>
            </w:tcBorders>
            <w:shd w:val="clear" w:color="auto" w:fill="auto"/>
            <w:noWrap/>
            <w:vAlign w:val="center"/>
          </w:tcPr>
          <w:p>
            <w:pPr>
              <w:spacing w:line="240" w:lineRule="exact"/>
              <w:jc w:val="center"/>
              <w:rPr>
                <w:rFonts w:eastAsia="华文楷体" w:cs="Times New Roman"/>
                <w:snapToGrid/>
                <w:kern w:val="0"/>
                <w:sz w:val="21"/>
                <w:szCs w:val="21"/>
              </w:rPr>
            </w:pPr>
            <w:r>
              <w:rPr>
                <w:rFonts w:eastAsia="华文楷体" w:cs="Times New Roman"/>
                <w:snapToGrid/>
                <w:kern w:val="0"/>
                <w:sz w:val="21"/>
                <w:szCs w:val="21"/>
              </w:rPr>
              <w:t>上午</w:t>
            </w:r>
          </w:p>
        </w:tc>
        <w:tc>
          <w:tcPr>
            <w:tcW w:w="8201" w:type="dxa"/>
            <w:vMerge w:val="restart"/>
            <w:tcBorders>
              <w:top w:val="single" w:color="auto" w:sz="4" w:space="0"/>
              <w:left w:val="nil"/>
              <w:right w:val="single" w:color="000000" w:sz="4" w:space="0"/>
            </w:tcBorders>
            <w:shd w:val="clear" w:color="auto" w:fill="auto"/>
            <w:noWrap/>
            <w:vAlign w:val="center"/>
          </w:tcPr>
          <w:p>
            <w:pPr>
              <w:spacing w:line="240" w:lineRule="auto"/>
              <w:jc w:val="left"/>
              <w:rPr>
                <w:rFonts w:eastAsia="华文楷体" w:cs="Times New Roman"/>
                <w:snapToGrid/>
                <w:kern w:val="0"/>
                <w:sz w:val="24"/>
                <w:szCs w:val="24"/>
              </w:rPr>
            </w:pPr>
            <w:r>
              <w:rPr>
                <w:rFonts w:eastAsia="华文楷体" w:cs="Times New Roman"/>
                <w:snapToGrid/>
                <w:kern w:val="0"/>
                <w:sz w:val="24"/>
                <w:szCs w:val="24"/>
              </w:rPr>
              <w:t xml:space="preserve">                   </w:t>
            </w:r>
            <w:r>
              <w:rPr>
                <w:rFonts w:hint="eastAsia" w:eastAsia="华文楷体" w:cs="Times New Roman"/>
                <w:snapToGrid/>
                <w:kern w:val="0"/>
                <w:sz w:val="24"/>
                <w:szCs w:val="24"/>
              </w:rPr>
              <w:t>数据整理、补漏</w:t>
            </w:r>
          </w:p>
        </w:tc>
      </w:tr>
      <w:tr>
        <w:tblPrEx>
          <w:tblCellMar>
            <w:top w:w="0" w:type="dxa"/>
            <w:left w:w="108" w:type="dxa"/>
            <w:bottom w:w="0" w:type="dxa"/>
            <w:right w:w="108" w:type="dxa"/>
          </w:tblCellMar>
        </w:tblPrEx>
        <w:trPr>
          <w:trHeight w:val="931" w:hRule="exact"/>
        </w:trPr>
        <w:tc>
          <w:tcPr>
            <w:tcW w:w="138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eastAsia="华文楷体" w:cs="Times New Roman"/>
                <w:snapToGrid/>
                <w:kern w:val="0"/>
                <w:sz w:val="24"/>
                <w:szCs w:val="24"/>
              </w:rPr>
            </w:pPr>
          </w:p>
        </w:tc>
        <w:tc>
          <w:tcPr>
            <w:tcW w:w="497" w:type="dxa"/>
            <w:tcBorders>
              <w:top w:val="nil"/>
              <w:left w:val="nil"/>
              <w:bottom w:val="single" w:color="auto" w:sz="4" w:space="0"/>
              <w:right w:val="single" w:color="auto" w:sz="4" w:space="0"/>
            </w:tcBorders>
            <w:shd w:val="clear" w:color="auto" w:fill="auto"/>
            <w:noWrap/>
            <w:vAlign w:val="center"/>
          </w:tcPr>
          <w:p>
            <w:pPr>
              <w:spacing w:line="240" w:lineRule="exact"/>
              <w:jc w:val="center"/>
              <w:rPr>
                <w:rFonts w:eastAsia="华文楷体" w:cs="Times New Roman"/>
                <w:snapToGrid/>
                <w:kern w:val="0"/>
                <w:sz w:val="21"/>
                <w:szCs w:val="21"/>
              </w:rPr>
            </w:pPr>
            <w:r>
              <w:rPr>
                <w:rFonts w:eastAsia="华文楷体" w:cs="Times New Roman"/>
                <w:snapToGrid/>
                <w:kern w:val="0"/>
                <w:sz w:val="21"/>
                <w:szCs w:val="21"/>
              </w:rPr>
              <w:t>下午</w:t>
            </w:r>
          </w:p>
        </w:tc>
        <w:tc>
          <w:tcPr>
            <w:tcW w:w="8201" w:type="dxa"/>
            <w:vMerge w:val="continue"/>
            <w:tcBorders>
              <w:left w:val="nil"/>
              <w:bottom w:val="single" w:color="auto" w:sz="4" w:space="0"/>
              <w:right w:val="single" w:color="000000" w:sz="4" w:space="0"/>
            </w:tcBorders>
            <w:shd w:val="clear" w:color="auto" w:fill="auto"/>
            <w:noWrap/>
            <w:vAlign w:val="center"/>
          </w:tcPr>
          <w:p>
            <w:pPr>
              <w:spacing w:line="240" w:lineRule="auto"/>
              <w:jc w:val="left"/>
              <w:rPr>
                <w:rFonts w:eastAsia="华文楷体" w:cs="Times New Roman"/>
                <w:snapToGrid/>
                <w:kern w:val="0"/>
                <w:sz w:val="24"/>
                <w:szCs w:val="24"/>
              </w:rPr>
            </w:pPr>
          </w:p>
        </w:tc>
      </w:tr>
    </w:tbl>
    <w:p>
      <w:pPr>
        <w:widowControl w:val="0"/>
        <w:ind w:leftChars="-44" w:hanging="140" w:hangingChars="44"/>
        <w:jc w:val="left"/>
        <w:rPr>
          <w:rFonts w:eastAsia="仿宋" w:cs="Times New Roman"/>
          <w:snapToGrid/>
          <w:color w:val="000000" w:themeColor="text1"/>
          <w:szCs w:val="32"/>
        </w:rPr>
      </w:pPr>
    </w:p>
    <w:p>
      <w:pPr>
        <w:ind w:firstLine="640" w:firstLineChars="200"/>
        <w:rPr>
          <w:rFonts w:eastAsia="仿宋" w:cs="Times New Roman"/>
          <w:szCs w:val="32"/>
        </w:rPr>
      </w:pPr>
    </w:p>
    <w:p>
      <w:pPr>
        <w:tabs>
          <w:tab w:val="left" w:pos="960"/>
        </w:tabs>
        <w:rPr>
          <w:rFonts w:eastAsia="仿宋" w:cs="Times New Roman"/>
          <w:szCs w:val="32"/>
        </w:rPr>
      </w:pPr>
      <w:r>
        <w:rPr>
          <w:rFonts w:eastAsia="仿宋" w:cs="Times New Roman"/>
          <w:szCs w:val="32"/>
        </w:rPr>
        <w:tab/>
      </w:r>
    </w:p>
    <w:sectPr>
      <w:pgSz w:w="11906" w:h="16838"/>
      <w:pgMar w:top="2098" w:right="1358" w:bottom="1985" w:left="1268" w:header="885" w:footer="1588" w:gutter="0"/>
      <w:cols w:space="425" w:num="1"/>
      <w:docGrid w:type="linesAndChars" w:linePitch="57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62588E-107D-49DC-A536-F7D2A96AD3C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embedRegular r:id="rId2" w:fontKey="{30FF6EFA-BA67-4BD9-ACCC-146416F78B32}"/>
  </w:font>
  <w:font w:name="方正小标宋_GBK">
    <w:altName w:val="方正小标宋简体"/>
    <w:panose1 w:val="00000000000000000000"/>
    <w:charset w:val="86"/>
    <w:family w:val="script"/>
    <w:pitch w:val="default"/>
    <w:sig w:usb0="00000000" w:usb1="00000000" w:usb2="00000010" w:usb3="00000000" w:csb0="00040000" w:csb1="00000000"/>
    <w:embedRegular r:id="rId3" w:fontKey="{6352D061-7702-468F-8791-D58A8170B674}"/>
  </w:font>
  <w:font w:name="仿宋">
    <w:panose1 w:val="02010609060101010101"/>
    <w:charset w:val="86"/>
    <w:family w:val="modern"/>
    <w:pitch w:val="default"/>
    <w:sig w:usb0="800002BF" w:usb1="38CF7CFA" w:usb2="00000016" w:usb3="00000000" w:csb0="00040001" w:csb1="00000000"/>
    <w:embedRegular r:id="rId4" w:fontKey="{7F7D845E-C3BE-4CB3-A8B2-8C02038CC496}"/>
  </w:font>
  <w:font w:name="微软雅黑">
    <w:panose1 w:val="020B0503020204020204"/>
    <w:charset w:val="86"/>
    <w:family w:val="swiss"/>
    <w:pitch w:val="default"/>
    <w:sig w:usb0="80000287" w:usb1="2ACF3C50" w:usb2="00000016" w:usb3="00000000" w:csb0="0004001F" w:csb1="00000000"/>
    <w:embedRegular r:id="rId5" w:fontKey="{87D63BC8-2A11-4CAF-845D-82300FAA8D90}"/>
  </w:font>
  <w:font w:name="华文中宋">
    <w:panose1 w:val="02010600040101010101"/>
    <w:charset w:val="86"/>
    <w:family w:val="auto"/>
    <w:pitch w:val="default"/>
    <w:sig w:usb0="00000287" w:usb1="080F0000" w:usb2="00000000" w:usb3="00000000" w:csb0="0004009F" w:csb1="DFD70000"/>
    <w:embedRegular r:id="rId6" w:fontKey="{CF15511C-1C32-4717-A335-E36799D2B94B}"/>
  </w:font>
  <w:font w:name="华文楷体">
    <w:panose1 w:val="02010600040101010101"/>
    <w:charset w:val="86"/>
    <w:family w:val="auto"/>
    <w:pitch w:val="default"/>
    <w:sig w:usb0="00000287" w:usb1="080F0000" w:usb2="00000000" w:usb3="00000000" w:csb0="0004009F" w:csb1="DFD70000"/>
    <w:embedRegular r:id="rId7" w:fontKey="{ED43F563-46AE-4443-B5CA-20822A5CEE2D}"/>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Fonts w:cs="Times New Roman"/>
        <w:sz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B80CEF"/>
    <w:multiLevelType w:val="singleLevel"/>
    <w:tmpl w:val="47B80CEF"/>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attachedTemplate r:id="rId1"/>
  <w:documentProtection w:edit="readOnly" w:enforcement="0"/>
  <w:defaultTabStop w:val="420"/>
  <w:drawingGridHorizontalSpacing w:val="160"/>
  <w:drawingGridVerticalSpacing w:val="579"/>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MjgxMmU0Y2E3NTIyMDE4NTFlZTU3MGE5Y2U1OGZhNmYifQ=="/>
  </w:docVars>
  <w:rsids>
    <w:rsidRoot w:val="00A12190"/>
    <w:rsid w:val="00001C80"/>
    <w:rsid w:val="00007971"/>
    <w:rsid w:val="00040A18"/>
    <w:rsid w:val="00043A3D"/>
    <w:rsid w:val="00050500"/>
    <w:rsid w:val="0008120D"/>
    <w:rsid w:val="000A7E73"/>
    <w:rsid w:val="000B4805"/>
    <w:rsid w:val="00101ECE"/>
    <w:rsid w:val="00103B13"/>
    <w:rsid w:val="00110416"/>
    <w:rsid w:val="00120D8F"/>
    <w:rsid w:val="0012497F"/>
    <w:rsid w:val="00130497"/>
    <w:rsid w:val="00136093"/>
    <w:rsid w:val="00176032"/>
    <w:rsid w:val="001E3E08"/>
    <w:rsid w:val="001F2D83"/>
    <w:rsid w:val="001F79D3"/>
    <w:rsid w:val="002060DB"/>
    <w:rsid w:val="0021665E"/>
    <w:rsid w:val="00244281"/>
    <w:rsid w:val="00264A87"/>
    <w:rsid w:val="00274E61"/>
    <w:rsid w:val="00275C23"/>
    <w:rsid w:val="00276572"/>
    <w:rsid w:val="0028005D"/>
    <w:rsid w:val="002A1C68"/>
    <w:rsid w:val="002B78EB"/>
    <w:rsid w:val="002F2C9A"/>
    <w:rsid w:val="002F2E9D"/>
    <w:rsid w:val="0032702F"/>
    <w:rsid w:val="00375992"/>
    <w:rsid w:val="003801B8"/>
    <w:rsid w:val="003907D9"/>
    <w:rsid w:val="003B221D"/>
    <w:rsid w:val="003C28D7"/>
    <w:rsid w:val="003D02CB"/>
    <w:rsid w:val="004038E4"/>
    <w:rsid w:val="00404EDD"/>
    <w:rsid w:val="0046507F"/>
    <w:rsid w:val="00470CA1"/>
    <w:rsid w:val="004A4B9F"/>
    <w:rsid w:val="004B0FA7"/>
    <w:rsid w:val="004C53E2"/>
    <w:rsid w:val="004E266A"/>
    <w:rsid w:val="004E2A3F"/>
    <w:rsid w:val="004F35B1"/>
    <w:rsid w:val="00505A74"/>
    <w:rsid w:val="00507608"/>
    <w:rsid w:val="00511811"/>
    <w:rsid w:val="00511AE3"/>
    <w:rsid w:val="005221C0"/>
    <w:rsid w:val="005263BC"/>
    <w:rsid w:val="005417D9"/>
    <w:rsid w:val="005442B3"/>
    <w:rsid w:val="00551716"/>
    <w:rsid w:val="00582CA8"/>
    <w:rsid w:val="005860B3"/>
    <w:rsid w:val="005A739B"/>
    <w:rsid w:val="005C6495"/>
    <w:rsid w:val="005F7704"/>
    <w:rsid w:val="006075F0"/>
    <w:rsid w:val="0061105C"/>
    <w:rsid w:val="00635E51"/>
    <w:rsid w:val="00646202"/>
    <w:rsid w:val="00646D07"/>
    <w:rsid w:val="00654E14"/>
    <w:rsid w:val="00655B88"/>
    <w:rsid w:val="00686453"/>
    <w:rsid w:val="006A35CE"/>
    <w:rsid w:val="006C5A67"/>
    <w:rsid w:val="006E7CA5"/>
    <w:rsid w:val="00727CE8"/>
    <w:rsid w:val="00732D32"/>
    <w:rsid w:val="00733DD8"/>
    <w:rsid w:val="00750696"/>
    <w:rsid w:val="0075165F"/>
    <w:rsid w:val="007774F9"/>
    <w:rsid w:val="007B4F08"/>
    <w:rsid w:val="007B73A2"/>
    <w:rsid w:val="007D00E4"/>
    <w:rsid w:val="00822AFE"/>
    <w:rsid w:val="00844DB5"/>
    <w:rsid w:val="00885E46"/>
    <w:rsid w:val="008B6C4C"/>
    <w:rsid w:val="00922F0C"/>
    <w:rsid w:val="00923AF0"/>
    <w:rsid w:val="009351E1"/>
    <w:rsid w:val="009572E8"/>
    <w:rsid w:val="00967A3D"/>
    <w:rsid w:val="00971985"/>
    <w:rsid w:val="00973D32"/>
    <w:rsid w:val="009776D9"/>
    <w:rsid w:val="009A68B7"/>
    <w:rsid w:val="009C4FBD"/>
    <w:rsid w:val="009C7EE3"/>
    <w:rsid w:val="009F66B5"/>
    <w:rsid w:val="00A0125D"/>
    <w:rsid w:val="00A12190"/>
    <w:rsid w:val="00A73E93"/>
    <w:rsid w:val="00A9649E"/>
    <w:rsid w:val="00AC0859"/>
    <w:rsid w:val="00AF5AA9"/>
    <w:rsid w:val="00B12D55"/>
    <w:rsid w:val="00B22D07"/>
    <w:rsid w:val="00B31490"/>
    <w:rsid w:val="00B35AA6"/>
    <w:rsid w:val="00B43878"/>
    <w:rsid w:val="00B51601"/>
    <w:rsid w:val="00B55643"/>
    <w:rsid w:val="00B76C2F"/>
    <w:rsid w:val="00BC67C4"/>
    <w:rsid w:val="00BD1E1C"/>
    <w:rsid w:val="00BF2E77"/>
    <w:rsid w:val="00C142BC"/>
    <w:rsid w:val="00C248C4"/>
    <w:rsid w:val="00C30480"/>
    <w:rsid w:val="00C95FCB"/>
    <w:rsid w:val="00CB0734"/>
    <w:rsid w:val="00CE7C07"/>
    <w:rsid w:val="00D02A42"/>
    <w:rsid w:val="00D10FCA"/>
    <w:rsid w:val="00D263B3"/>
    <w:rsid w:val="00D26AEB"/>
    <w:rsid w:val="00D42FA3"/>
    <w:rsid w:val="00D53B4D"/>
    <w:rsid w:val="00D631D3"/>
    <w:rsid w:val="00D66964"/>
    <w:rsid w:val="00D71664"/>
    <w:rsid w:val="00D743EF"/>
    <w:rsid w:val="00D74918"/>
    <w:rsid w:val="00D75E5E"/>
    <w:rsid w:val="00D92653"/>
    <w:rsid w:val="00D9329D"/>
    <w:rsid w:val="00DD1AA1"/>
    <w:rsid w:val="00DF1B55"/>
    <w:rsid w:val="00E02156"/>
    <w:rsid w:val="00E1401C"/>
    <w:rsid w:val="00E406BE"/>
    <w:rsid w:val="00E4407E"/>
    <w:rsid w:val="00E472D4"/>
    <w:rsid w:val="00E50BF1"/>
    <w:rsid w:val="00E56F56"/>
    <w:rsid w:val="00E66247"/>
    <w:rsid w:val="00E8375A"/>
    <w:rsid w:val="00E84531"/>
    <w:rsid w:val="00E87316"/>
    <w:rsid w:val="00E87ECB"/>
    <w:rsid w:val="00ED0A88"/>
    <w:rsid w:val="00ED108B"/>
    <w:rsid w:val="00ED700A"/>
    <w:rsid w:val="00EF49E4"/>
    <w:rsid w:val="00EF6CE2"/>
    <w:rsid w:val="00F12501"/>
    <w:rsid w:val="00F81C36"/>
    <w:rsid w:val="00F8334B"/>
    <w:rsid w:val="00F93B06"/>
    <w:rsid w:val="00FB3421"/>
    <w:rsid w:val="00FC001F"/>
    <w:rsid w:val="00FC0F50"/>
    <w:rsid w:val="00FD47BC"/>
    <w:rsid w:val="00FE11C8"/>
    <w:rsid w:val="020D5BEB"/>
    <w:rsid w:val="038F44C5"/>
    <w:rsid w:val="04C80A92"/>
    <w:rsid w:val="08291B12"/>
    <w:rsid w:val="08757E1C"/>
    <w:rsid w:val="0B6D03D5"/>
    <w:rsid w:val="0E255799"/>
    <w:rsid w:val="0FC0009A"/>
    <w:rsid w:val="12042ED1"/>
    <w:rsid w:val="1B490679"/>
    <w:rsid w:val="1F084E31"/>
    <w:rsid w:val="21B23828"/>
    <w:rsid w:val="24494DC5"/>
    <w:rsid w:val="250473C5"/>
    <w:rsid w:val="26BF3282"/>
    <w:rsid w:val="2A522B7B"/>
    <w:rsid w:val="2CAA2A2D"/>
    <w:rsid w:val="2CB8146D"/>
    <w:rsid w:val="375C2560"/>
    <w:rsid w:val="3947671F"/>
    <w:rsid w:val="39807B4A"/>
    <w:rsid w:val="39D74761"/>
    <w:rsid w:val="3B204A29"/>
    <w:rsid w:val="3DB8313C"/>
    <w:rsid w:val="3E4C4D94"/>
    <w:rsid w:val="3EC97A11"/>
    <w:rsid w:val="47417AEB"/>
    <w:rsid w:val="4D716CE0"/>
    <w:rsid w:val="4FA212AF"/>
    <w:rsid w:val="56711C5C"/>
    <w:rsid w:val="58951D01"/>
    <w:rsid w:val="5CA81742"/>
    <w:rsid w:val="622B611D"/>
    <w:rsid w:val="677917BA"/>
    <w:rsid w:val="679F08CC"/>
    <w:rsid w:val="6E2B21BB"/>
    <w:rsid w:val="6ED70C34"/>
    <w:rsid w:val="74846126"/>
    <w:rsid w:val="77A9604B"/>
    <w:rsid w:val="7A454022"/>
    <w:rsid w:val="7DD114C4"/>
    <w:rsid w:val="7EC124BA"/>
    <w:rsid w:val="7FDA59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79" w:lineRule="exact"/>
      <w:jc w:val="both"/>
    </w:pPr>
    <w:rPr>
      <w:rFonts w:ascii="Times New Roman" w:hAnsi="Times New Roman" w:eastAsia="仿宋_GB2312" w:cstheme="minorBidi"/>
      <w:snapToGrid w:val="0"/>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unhideWhenUsed/>
    <w:qFormat/>
    <w:uiPriority w:val="0"/>
  </w:style>
  <w:style w:type="character" w:styleId="9">
    <w:name w:val="Hyperlink"/>
    <w:basedOn w:val="7"/>
    <w:unhideWhenUsed/>
    <w:qFormat/>
    <w:uiPriority w:val="99"/>
    <w:rPr>
      <w:color w:val="0000FF" w:themeColor="hyperlink"/>
      <w:u w:val="single"/>
    </w:rPr>
  </w:style>
  <w:style w:type="character" w:customStyle="1" w:styleId="10">
    <w:name w:val="页眉 字符"/>
    <w:basedOn w:val="7"/>
    <w:link w:val="5"/>
    <w:qFormat/>
    <w:uiPriority w:val="99"/>
    <w:rPr>
      <w:rFonts w:ascii="Times New Roman" w:hAnsi="Times New Roman" w:eastAsia="方正仿宋_GBK"/>
      <w:snapToGrid w:val="0"/>
      <w:sz w:val="18"/>
      <w:szCs w:val="18"/>
    </w:rPr>
  </w:style>
  <w:style w:type="character" w:customStyle="1" w:styleId="11">
    <w:name w:val="页脚 字符"/>
    <w:basedOn w:val="7"/>
    <w:link w:val="4"/>
    <w:qFormat/>
    <w:uiPriority w:val="99"/>
    <w:rPr>
      <w:rFonts w:ascii="Times New Roman" w:hAnsi="Times New Roman" w:eastAsia="方正仿宋_GBK"/>
      <w:snapToGrid w:val="0"/>
      <w:sz w:val="18"/>
      <w:szCs w:val="18"/>
    </w:rPr>
  </w:style>
  <w:style w:type="character" w:customStyle="1" w:styleId="12">
    <w:name w:val="批注框文本 字符"/>
    <w:basedOn w:val="7"/>
    <w:link w:val="3"/>
    <w:semiHidden/>
    <w:qFormat/>
    <w:uiPriority w:val="99"/>
    <w:rPr>
      <w:rFonts w:ascii="Times New Roman" w:hAnsi="Times New Roman" w:eastAsia="仿宋_GB2312"/>
      <w:snapToGrid w:val="0"/>
      <w:sz w:val="18"/>
      <w:szCs w:val="18"/>
    </w:rPr>
  </w:style>
  <w:style w:type="character" w:customStyle="1" w:styleId="13">
    <w:name w:val="日期 字符"/>
    <w:basedOn w:val="7"/>
    <w:link w:val="2"/>
    <w:semiHidden/>
    <w:qFormat/>
    <w:uiPriority w:val="99"/>
    <w:rPr>
      <w:rFonts w:ascii="Times New Roman" w:hAnsi="Times New Roman" w:eastAsia="仿宋_GB2312" w:cstheme="minorBidi"/>
      <w:snapToGrid w:val="0"/>
      <w:kern w:val="2"/>
      <w:sz w:val="3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numbering" Target="numbering.xml"/><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0223;&#23435;_GB2312.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DE58E9-A995-4EA5-95C7-1390A15A5402}">
  <ds:schemaRefs/>
</ds:datastoreItem>
</file>

<file path=docProps/app.xml><?xml version="1.0" encoding="utf-8"?>
<Properties xmlns="http://schemas.openxmlformats.org/officeDocument/2006/extended-properties" xmlns:vt="http://schemas.openxmlformats.org/officeDocument/2006/docPropsVTypes">
  <Template>仿宋_GB2312.dotm</Template>
  <Pages>16</Pages>
  <Words>2459</Words>
  <Characters>2611</Characters>
  <Lines>51</Lines>
  <Paragraphs>14</Paragraphs>
  <TotalTime>1</TotalTime>
  <ScaleCrop>false</ScaleCrop>
  <LinksUpToDate>false</LinksUpToDate>
  <CharactersWithSpaces>2756</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2019-12-02T06:24:00Z</dcterms:created>
  <dc:creator>微软用户</dc:creator>
  <cp:lastModifiedBy>HR内罗毕</cp:lastModifiedBy>
  <cp:lastPrinted>2016-01-19T06:20:00Z</cp:lastPrinted>
  <dcterms:modified xsi:type="dcterms:W3CDTF">2024-11-21T08:51:17Z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7A83C7567F0A4BFAB277A8CDE135ECBF</vt:lpwstr>
  </property>
</Properties>
</file>