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C5901D">
      <w:pPr>
        <w:numPr>
          <w:ilvl w:val="0"/>
          <w:numId w:val="0"/>
        </w:numPr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附件1：</w:t>
      </w:r>
    </w:p>
    <w:p w14:paraId="0F53FB34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济南市第四人民医院第二批引进知名高校急需优秀人才</w:t>
      </w:r>
      <w:r>
        <w:rPr>
          <w:rFonts w:hint="default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岗位汇总表</w:t>
      </w:r>
      <w:bookmarkEnd w:id="0"/>
    </w:p>
    <w:p w14:paraId="09C41968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</w:p>
    <w:tbl>
      <w:tblPr>
        <w:tblStyle w:val="3"/>
        <w:tblW w:w="140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7"/>
        <w:gridCol w:w="851"/>
        <w:gridCol w:w="818"/>
        <w:gridCol w:w="1399"/>
        <w:gridCol w:w="1548"/>
        <w:gridCol w:w="1073"/>
        <w:gridCol w:w="1162"/>
        <w:gridCol w:w="4102"/>
        <w:gridCol w:w="1516"/>
        <w:gridCol w:w="1014"/>
      </w:tblGrid>
      <w:tr w14:paraId="1C053C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112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A2B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AE4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引进人数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6CB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DFE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岗位等级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086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158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11F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专业方向及要求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D5C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联系人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及联系电话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A71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07E12A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899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775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临床医学博士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E0D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058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C6C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中级及以下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4C5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18B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80CF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医学类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869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尹老师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0531-81313612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671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控制总量</w:t>
            </w:r>
          </w:p>
        </w:tc>
      </w:tr>
      <w:tr w14:paraId="59D6D7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EA6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FE2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临床医学硕士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E62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4D1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1E2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5E6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F2D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0D3D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 w:bidi="ar"/>
              </w:rPr>
              <w:t>内科学、外科学、妇产科学、儿科学、</w:t>
            </w:r>
            <w:r>
              <w:rPr>
                <w:rStyle w:val="6"/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 w:bidi="ar"/>
              </w:rPr>
              <w:t>耳鼻咽喉科学</w:t>
            </w:r>
            <w:r>
              <w:rPr>
                <w:rStyle w:val="5"/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 w:bidi="ar"/>
              </w:rPr>
              <w:t>、眼科学、</w:t>
            </w:r>
            <w:r>
              <w:rPr>
                <w:rStyle w:val="6"/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 w:bidi="ar"/>
              </w:rPr>
              <w:t>肿瘤学、老年医学、急诊医学、全科医学</w:t>
            </w:r>
            <w:r>
              <w:rPr>
                <w:rStyle w:val="5"/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 w:bidi="ar"/>
              </w:rPr>
              <w:t>、麻醉学、超声医学、影像医学与核医学、</w:t>
            </w:r>
            <w:r>
              <w:rPr>
                <w:rStyle w:val="6"/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 w:bidi="ar"/>
              </w:rPr>
              <w:t>神经病学</w:t>
            </w:r>
            <w:r>
              <w:rPr>
                <w:rStyle w:val="5"/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 w:bidi="ar"/>
              </w:rPr>
              <w:t>、</w:t>
            </w:r>
            <w:r>
              <w:rPr>
                <w:rStyle w:val="6"/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 w:bidi="ar"/>
              </w:rPr>
              <w:t>康复医学与理疗学、感染病学、</w:t>
            </w:r>
            <w:r>
              <w:rPr>
                <w:rStyle w:val="5"/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 w:bidi="ar"/>
              </w:rPr>
              <w:t>皮肤病与性病学、临床病理学、临床病理学与病原生物学、重症医学、中医学、针灸推拿学、药学、公共卫生与预防医学等专业，含相关专业的专业学位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548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尹老师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0531-81313612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638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控制总量</w:t>
            </w:r>
          </w:p>
        </w:tc>
      </w:tr>
    </w:tbl>
    <w:p w14:paraId="2B35C342">
      <w:pPr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77C70084">
      <w:p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sectPr>
          <w:pgSz w:w="16838" w:h="11906" w:orient="landscape"/>
          <w:pgMar w:top="1304" w:right="1304" w:bottom="1304" w:left="1304" w:header="851" w:footer="992" w:gutter="0"/>
          <w:pgNumType w:fmt="decimal"/>
          <w:cols w:space="720" w:num="1"/>
          <w:rtlGutter w:val="0"/>
          <w:docGrid w:type="lines" w:linePitch="320" w:charSpace="0"/>
        </w:sectPr>
      </w:pPr>
    </w:p>
    <w:p w14:paraId="353F20A8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D912D9"/>
    <w:rsid w:val="48D91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font4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6">
    <w:name w:val="font51"/>
    <w:basedOn w:val="4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2025-03-03T01:36:00Z</dcterms:created>
  <dc:creator>薰衣草</dc:creator>
  <cp:lastModifiedBy>薰衣草</cp:lastModifiedBy>
  <dcterms:modified xsi:type="dcterms:W3CDTF">2025-03-03T01:37:58Z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17932C0487334250AFDD203F042E08D7_11</vt:lpwstr>
  </property>
  <property fmtid="{D5CDD505-2E9C-101B-9397-08002B2CF9AE}" pid="4" name="KSOTemplateDocerSaveRecord">
    <vt:lpwstr>eyJoZGlkIjoiM2VkY2YxMTE1NmVkNzAxMzY0ZWQwMzI3MzlkYTQ5NDUiLCJ1c2VySWQiOiIyODQyOTAwOTIifQ==</vt:lpwstr>
  </property>
</Properties>
</file>